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90B35" w14:textId="77777777" w:rsidR="00A910F3" w:rsidRDefault="00A910F3" w:rsidP="00A910F3">
      <w:pPr>
        <w:jc w:val="cente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A910F3" w:rsidRPr="009B2A3C" w14:paraId="47FD1645" w14:textId="77777777" w:rsidTr="00DB6355">
        <w:tc>
          <w:tcPr>
            <w:tcW w:w="10194" w:type="dxa"/>
            <w:gridSpan w:val="4"/>
          </w:tcPr>
          <w:p w14:paraId="528FD4A8" w14:textId="77777777" w:rsidR="00A910F3" w:rsidRPr="009B2A3C" w:rsidRDefault="00A910F3" w:rsidP="00DB6355">
            <w:pPr>
              <w:jc w:val="center"/>
              <w:rPr>
                <w:rStyle w:val="nfase"/>
                <w:rFonts w:ascii="Arial" w:hAnsi="Arial" w:cs="Arial"/>
                <w:i w:val="0"/>
                <w:sz w:val="16"/>
                <w:szCs w:val="16"/>
              </w:rPr>
            </w:pPr>
          </w:p>
          <w:p w14:paraId="72DE1A27" w14:textId="77777777" w:rsidR="00A910F3" w:rsidRDefault="00A910F3" w:rsidP="00DB6355">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4D9E444D" w14:textId="77777777" w:rsidR="00A910F3" w:rsidRPr="00D46314" w:rsidRDefault="00A910F3" w:rsidP="00DB6355">
            <w:pPr>
              <w:jc w:val="center"/>
              <w:rPr>
                <w:rStyle w:val="nfase"/>
                <w:rFonts w:ascii="Arial" w:hAnsi="Arial" w:cs="Arial"/>
                <w:i w:val="0"/>
                <w:sz w:val="12"/>
                <w:szCs w:val="12"/>
              </w:rPr>
            </w:pPr>
          </w:p>
          <w:p w14:paraId="4BAF1ACF" w14:textId="7906EFFE" w:rsidR="00A910F3" w:rsidRDefault="00A910F3" w:rsidP="00DB6355">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sidR="00E81B53">
              <w:rPr>
                <w:rStyle w:val="nfase"/>
                <w:rFonts w:ascii="Arial" w:hAnsi="Arial" w:cs="Arial"/>
                <w:b/>
                <w:i w:val="0"/>
                <w:sz w:val="28"/>
                <w:szCs w:val="28"/>
              </w:rPr>
              <w:t>90005/2025</w:t>
            </w:r>
          </w:p>
          <w:p w14:paraId="17A45310" w14:textId="77777777" w:rsidR="00A910F3" w:rsidRPr="00D46314" w:rsidRDefault="00A910F3" w:rsidP="00DB6355">
            <w:pPr>
              <w:jc w:val="center"/>
              <w:rPr>
                <w:rStyle w:val="nfase"/>
                <w:rFonts w:ascii="Arial" w:hAnsi="Arial" w:cs="Arial"/>
                <w:b/>
                <w:i w:val="0"/>
                <w:sz w:val="12"/>
                <w:szCs w:val="12"/>
              </w:rPr>
            </w:pPr>
          </w:p>
          <w:p w14:paraId="16135AD1" w14:textId="77777777" w:rsidR="00A910F3" w:rsidRPr="0090795E" w:rsidRDefault="00A910F3" w:rsidP="00DB6355">
            <w:pPr>
              <w:jc w:val="both"/>
              <w:rPr>
                <w:rStyle w:val="nfase"/>
                <w:rFonts w:ascii="Arial" w:hAnsi="Arial" w:cs="Arial"/>
                <w:i w:val="0"/>
                <w:sz w:val="20"/>
                <w:szCs w:val="20"/>
              </w:rPr>
            </w:pPr>
            <w:r w:rsidRPr="0090795E">
              <w:rPr>
                <w:rStyle w:val="nfase"/>
                <w:rFonts w:ascii="Arial" w:hAnsi="Arial" w:cs="Arial"/>
                <w:i w:val="0"/>
                <w:sz w:val="20"/>
                <w:szCs w:val="20"/>
              </w:rPr>
              <w:t xml:space="preserve">(Regido pela Lei 14.133/2021, pela </w:t>
            </w:r>
            <w:r>
              <w:rPr>
                <w:rStyle w:val="nfase"/>
                <w:rFonts w:ascii="Arial" w:hAnsi="Arial" w:cs="Arial"/>
                <w:i w:val="0"/>
                <w:sz w:val="20"/>
                <w:szCs w:val="20"/>
              </w:rPr>
              <w:t>Lei Complementar 123/2006, pelo</w:t>
            </w:r>
            <w:r w:rsidRPr="0090795E">
              <w:rPr>
                <w:rStyle w:val="nfase"/>
                <w:rFonts w:ascii="Arial" w:hAnsi="Arial" w:cs="Arial"/>
                <w:i w:val="0"/>
                <w:sz w:val="20"/>
                <w:szCs w:val="20"/>
              </w:rPr>
              <w:t xml:space="preserve"> Decreto 8.538/2015, pela IN SEGES/ME 73/2022, no que couber, e demais legislações aplicáveis)</w:t>
            </w:r>
          </w:p>
          <w:p w14:paraId="7F8FBAC5" w14:textId="77777777" w:rsidR="00A910F3" w:rsidRPr="009B2A3C" w:rsidRDefault="00A910F3" w:rsidP="00DB6355">
            <w:pPr>
              <w:jc w:val="center"/>
              <w:rPr>
                <w:rStyle w:val="nfase"/>
                <w:rFonts w:ascii="Arial" w:hAnsi="Arial" w:cs="Arial"/>
                <w:i w:val="0"/>
                <w:sz w:val="16"/>
                <w:szCs w:val="16"/>
              </w:rPr>
            </w:pPr>
          </w:p>
        </w:tc>
      </w:tr>
      <w:tr w:rsidR="00A910F3" w:rsidRPr="009B2A3C" w14:paraId="6BA93F9F" w14:textId="77777777" w:rsidTr="00DB6355">
        <w:tc>
          <w:tcPr>
            <w:tcW w:w="10194" w:type="dxa"/>
            <w:gridSpan w:val="4"/>
          </w:tcPr>
          <w:p w14:paraId="534C34E6" w14:textId="77777777" w:rsidR="00A910F3" w:rsidRPr="00BD26DE" w:rsidRDefault="00A910F3" w:rsidP="00DB6355">
            <w:pPr>
              <w:tabs>
                <w:tab w:val="left" w:pos="1735"/>
              </w:tabs>
              <w:autoSpaceDE w:val="0"/>
              <w:autoSpaceDN w:val="0"/>
              <w:adjustRightInd w:val="0"/>
              <w:ind w:left="318"/>
              <w:jc w:val="center"/>
              <w:rPr>
                <w:rStyle w:val="nfase"/>
                <w:rFonts w:ascii="Arial" w:hAnsi="Arial" w:cs="Arial"/>
                <w:b/>
                <w:i w:val="0"/>
                <w:sz w:val="16"/>
                <w:szCs w:val="16"/>
              </w:rPr>
            </w:pPr>
          </w:p>
          <w:p w14:paraId="2D96419C" w14:textId="2E275FBB" w:rsidR="00A910F3" w:rsidRDefault="00A910F3" w:rsidP="000504B7">
            <w:pPr>
              <w:tabs>
                <w:tab w:val="left" w:pos="1735"/>
              </w:tabs>
              <w:autoSpaceDE w:val="0"/>
              <w:autoSpaceDN w:val="0"/>
              <w:adjustRightInd w:val="0"/>
              <w:ind w:left="-10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37905776" w14:textId="77777777" w:rsidR="00744031" w:rsidRPr="00744031" w:rsidRDefault="00744031" w:rsidP="00DB6355">
            <w:pPr>
              <w:tabs>
                <w:tab w:val="left" w:pos="1735"/>
              </w:tabs>
              <w:autoSpaceDE w:val="0"/>
              <w:autoSpaceDN w:val="0"/>
              <w:adjustRightInd w:val="0"/>
              <w:ind w:left="318"/>
              <w:jc w:val="center"/>
              <w:rPr>
                <w:rStyle w:val="nfase"/>
                <w:rFonts w:ascii="Arial" w:hAnsi="Arial" w:cs="Arial"/>
                <w:b/>
                <w:i w:val="0"/>
                <w:sz w:val="20"/>
                <w:szCs w:val="20"/>
              </w:rPr>
            </w:pPr>
          </w:p>
          <w:p w14:paraId="6BC141AF" w14:textId="7D9AC0A8" w:rsidR="00A910F3" w:rsidRDefault="000504B7" w:rsidP="000504B7">
            <w:pPr>
              <w:autoSpaceDE w:val="0"/>
              <w:autoSpaceDN w:val="0"/>
              <w:adjustRightInd w:val="0"/>
              <w:jc w:val="both"/>
              <w:rPr>
                <w:rFonts w:ascii="Arial" w:hAnsi="Arial" w:cs="Arial"/>
                <w:b/>
                <w:bCs/>
                <w:sz w:val="22"/>
                <w:szCs w:val="22"/>
                <w:lang w:eastAsia="en-US"/>
              </w:rPr>
            </w:pPr>
            <w:r w:rsidRPr="000504B7">
              <w:rPr>
                <w:rFonts w:ascii="Arial" w:hAnsi="Arial" w:cs="Arial"/>
                <w:b/>
                <w:bCs/>
                <w:sz w:val="22"/>
                <w:szCs w:val="22"/>
                <w:lang w:eastAsia="en-US"/>
              </w:rPr>
              <w:t>CONTRATAÇÃO DE EMPRESA ESPECIALIZADA PARA PRESTAÇÃO DE SERVIÇOS DE VACINAÇÃO E IMUNIZAÇÃO PARA AS UNIDADES DE TRABALHO DO TRT DA 24ª REGIÃO</w:t>
            </w:r>
            <w:r w:rsidR="00A44136">
              <w:rPr>
                <w:rFonts w:ascii="Arial" w:hAnsi="Arial" w:cs="Arial"/>
                <w:b/>
                <w:bCs/>
                <w:sz w:val="22"/>
                <w:szCs w:val="22"/>
                <w:lang w:eastAsia="en-US"/>
              </w:rPr>
              <w:t xml:space="preserve"> RELACIONADAS NO ANEXO I DO TERMO DE REFERÊNCIA</w:t>
            </w:r>
            <w:r w:rsidRPr="000504B7">
              <w:rPr>
                <w:rFonts w:ascii="Arial" w:hAnsi="Arial" w:cs="Arial"/>
                <w:b/>
                <w:bCs/>
                <w:sz w:val="22"/>
                <w:szCs w:val="22"/>
                <w:lang w:eastAsia="en-US"/>
              </w:rPr>
              <w:t>, COM O FORNECIMENTO, ARMAZENAMENTO E APLICAÇÃO DE DOSES DE VACINA ANTIGRIPAL (VACINA INFLUENZA QUADRIVALENTE).</w:t>
            </w:r>
          </w:p>
          <w:p w14:paraId="0C60765B" w14:textId="7AD8D71C" w:rsidR="000504B7" w:rsidRPr="000504B7" w:rsidRDefault="000504B7" w:rsidP="000504B7">
            <w:pPr>
              <w:autoSpaceDE w:val="0"/>
              <w:autoSpaceDN w:val="0"/>
              <w:adjustRightInd w:val="0"/>
              <w:jc w:val="both"/>
              <w:rPr>
                <w:rStyle w:val="nfase"/>
                <w:rFonts w:ascii="Arial" w:hAnsi="Arial" w:cs="Arial"/>
                <w:i w:val="0"/>
                <w:sz w:val="22"/>
                <w:szCs w:val="22"/>
              </w:rPr>
            </w:pPr>
          </w:p>
        </w:tc>
      </w:tr>
      <w:tr w:rsidR="00A910F3" w:rsidRPr="007B3ECB" w14:paraId="2B6B8266" w14:textId="77777777" w:rsidTr="00DB6355">
        <w:tc>
          <w:tcPr>
            <w:tcW w:w="10194" w:type="dxa"/>
            <w:gridSpan w:val="4"/>
          </w:tcPr>
          <w:p w14:paraId="56FAAA4D" w14:textId="77777777" w:rsidR="00A910F3" w:rsidRPr="007B3ECB" w:rsidRDefault="00A910F3" w:rsidP="00DB6355">
            <w:pPr>
              <w:rPr>
                <w:rStyle w:val="nfase"/>
                <w:rFonts w:ascii="Arial" w:hAnsi="Arial" w:cs="Arial"/>
                <w:b/>
                <w:i w:val="0"/>
                <w:sz w:val="12"/>
                <w:szCs w:val="12"/>
              </w:rPr>
            </w:pPr>
          </w:p>
          <w:p w14:paraId="69642968" w14:textId="77777777" w:rsidR="00A910F3" w:rsidRPr="00946D64" w:rsidRDefault="00A910F3" w:rsidP="00DB6355">
            <w:pPr>
              <w:rPr>
                <w:rStyle w:val="nfase"/>
                <w:rFonts w:ascii="Arial" w:hAnsi="Arial" w:cs="Arial"/>
                <w:b/>
                <w:i w:val="0"/>
              </w:rPr>
            </w:pPr>
            <w:r w:rsidRPr="00946D64">
              <w:rPr>
                <w:rStyle w:val="nfase"/>
                <w:rFonts w:ascii="Arial" w:hAnsi="Arial" w:cs="Arial"/>
                <w:b/>
                <w:i w:val="0"/>
              </w:rPr>
              <w:t>Data de abertura da sessão pública:</w:t>
            </w:r>
          </w:p>
          <w:p w14:paraId="42956807" w14:textId="2C4BB63F" w:rsidR="00A910F3" w:rsidRDefault="004338DB" w:rsidP="00DB6355">
            <w:pPr>
              <w:rPr>
                <w:rStyle w:val="nfase"/>
                <w:rFonts w:ascii="Arial" w:hAnsi="Arial" w:cs="Arial"/>
                <w:i w:val="0"/>
              </w:rPr>
            </w:pPr>
            <w:r>
              <w:rPr>
                <w:rStyle w:val="nfase"/>
                <w:rFonts w:ascii="Arial" w:hAnsi="Arial" w:cs="Arial"/>
                <w:i w:val="0"/>
              </w:rPr>
              <w:t>6</w:t>
            </w:r>
            <w:r w:rsidR="00027862">
              <w:rPr>
                <w:rStyle w:val="nfase"/>
                <w:rFonts w:ascii="Arial" w:hAnsi="Arial" w:cs="Arial"/>
                <w:i w:val="0"/>
              </w:rPr>
              <w:t>-</w:t>
            </w:r>
            <w:r>
              <w:rPr>
                <w:rStyle w:val="nfase"/>
                <w:rFonts w:ascii="Arial" w:hAnsi="Arial" w:cs="Arial"/>
                <w:i w:val="0"/>
              </w:rPr>
              <w:t>5</w:t>
            </w:r>
            <w:r w:rsidR="00145A47">
              <w:rPr>
                <w:rStyle w:val="nfase"/>
                <w:rFonts w:ascii="Arial" w:hAnsi="Arial" w:cs="Arial"/>
                <w:i w:val="0"/>
              </w:rPr>
              <w:t>-2025</w:t>
            </w:r>
            <w:r w:rsidR="00A910F3">
              <w:rPr>
                <w:rStyle w:val="nfase"/>
                <w:rFonts w:ascii="Arial" w:hAnsi="Arial" w:cs="Arial"/>
                <w:i w:val="0"/>
              </w:rPr>
              <w:t xml:space="preserve"> (</w:t>
            </w:r>
            <w:r>
              <w:rPr>
                <w:rStyle w:val="nfase"/>
                <w:rFonts w:ascii="Arial" w:hAnsi="Arial" w:cs="Arial"/>
                <w:i w:val="0"/>
              </w:rPr>
              <w:t>terça</w:t>
            </w:r>
            <w:r w:rsidR="00145A47">
              <w:rPr>
                <w:rStyle w:val="nfase"/>
                <w:rFonts w:ascii="Arial" w:hAnsi="Arial" w:cs="Arial"/>
                <w:i w:val="0"/>
              </w:rPr>
              <w:t>-</w:t>
            </w:r>
            <w:r w:rsidR="00A910F3">
              <w:rPr>
                <w:rStyle w:val="nfase"/>
                <w:rFonts w:ascii="Arial" w:hAnsi="Arial" w:cs="Arial"/>
                <w:i w:val="0"/>
              </w:rPr>
              <w:t xml:space="preserve">feira) às 14h30 (horário de Brasília/DF) no sítio </w:t>
            </w:r>
            <w:hyperlink r:id="rId11" w:history="1">
              <w:r w:rsidR="00A910F3" w:rsidRPr="00E2113B">
                <w:rPr>
                  <w:rStyle w:val="Hyperlink"/>
                  <w:rFonts w:ascii="Arial" w:hAnsi="Arial" w:cs="Arial"/>
                </w:rPr>
                <w:t>www.gov.br/compras/pt-br</w:t>
              </w:r>
            </w:hyperlink>
          </w:p>
          <w:p w14:paraId="78C4A7EF" w14:textId="77777777" w:rsidR="00A910F3" w:rsidRPr="007B3ECB" w:rsidRDefault="00A910F3" w:rsidP="00DB6355">
            <w:pPr>
              <w:rPr>
                <w:rStyle w:val="nfase"/>
                <w:rFonts w:ascii="Arial" w:hAnsi="Arial" w:cs="Arial"/>
                <w:i w:val="0"/>
                <w:sz w:val="12"/>
                <w:szCs w:val="12"/>
              </w:rPr>
            </w:pPr>
          </w:p>
        </w:tc>
      </w:tr>
      <w:tr w:rsidR="00A910F3" w:rsidRPr="00051F53" w14:paraId="2009A060" w14:textId="77777777" w:rsidTr="00DB6355">
        <w:tc>
          <w:tcPr>
            <w:tcW w:w="2548" w:type="dxa"/>
          </w:tcPr>
          <w:p w14:paraId="56763F39" w14:textId="77777777" w:rsidR="00A910F3" w:rsidRPr="00051F53" w:rsidRDefault="00A910F3" w:rsidP="00DB6355">
            <w:pPr>
              <w:jc w:val="center"/>
              <w:rPr>
                <w:rStyle w:val="nfase"/>
                <w:rFonts w:ascii="Arial" w:hAnsi="Arial" w:cs="Arial"/>
                <w:i w:val="0"/>
                <w:sz w:val="12"/>
                <w:szCs w:val="12"/>
              </w:rPr>
            </w:pPr>
          </w:p>
          <w:p w14:paraId="11644214"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Tipo:</w:t>
            </w:r>
          </w:p>
          <w:p w14:paraId="4E47C0F9"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Menor Preço</w:t>
            </w:r>
          </w:p>
          <w:p w14:paraId="31C2E3C7" w14:textId="77777777" w:rsidR="00A910F3" w:rsidRPr="00051F53" w:rsidRDefault="00A910F3" w:rsidP="00DB6355">
            <w:pPr>
              <w:rPr>
                <w:rStyle w:val="nfase"/>
                <w:rFonts w:ascii="Arial" w:hAnsi="Arial" w:cs="Arial"/>
                <w:i w:val="0"/>
                <w:sz w:val="12"/>
                <w:szCs w:val="12"/>
              </w:rPr>
            </w:pPr>
          </w:p>
        </w:tc>
        <w:tc>
          <w:tcPr>
            <w:tcW w:w="2125" w:type="dxa"/>
          </w:tcPr>
          <w:p w14:paraId="1CA92289" w14:textId="77777777" w:rsidR="00A910F3" w:rsidRPr="00051F53" w:rsidRDefault="00A910F3" w:rsidP="00DB6355">
            <w:pPr>
              <w:rPr>
                <w:rStyle w:val="nfase"/>
                <w:rFonts w:ascii="Arial" w:hAnsi="Arial" w:cs="Arial"/>
                <w:b/>
                <w:i w:val="0"/>
                <w:sz w:val="12"/>
                <w:szCs w:val="12"/>
              </w:rPr>
            </w:pPr>
          </w:p>
          <w:p w14:paraId="1F9EA20F"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Modo de disputa:</w:t>
            </w:r>
          </w:p>
          <w:p w14:paraId="23BBED72" w14:textId="77777777" w:rsidR="00A910F3" w:rsidRPr="00D46314" w:rsidRDefault="00A910F3" w:rsidP="00DB6355">
            <w:pPr>
              <w:rPr>
                <w:rStyle w:val="nfase"/>
                <w:rFonts w:ascii="Arial" w:hAnsi="Arial" w:cs="Arial"/>
                <w:i w:val="0"/>
                <w:sz w:val="20"/>
                <w:szCs w:val="20"/>
              </w:rPr>
            </w:pPr>
            <w:r w:rsidRPr="00D46314">
              <w:rPr>
                <w:rStyle w:val="nfase"/>
                <w:rFonts w:ascii="Arial" w:hAnsi="Arial" w:cs="Arial"/>
                <w:i w:val="0"/>
                <w:sz w:val="20"/>
                <w:szCs w:val="20"/>
              </w:rPr>
              <w:t>Aberto</w:t>
            </w:r>
          </w:p>
          <w:p w14:paraId="7B90F9A4" w14:textId="77777777" w:rsidR="00A910F3" w:rsidRPr="00051F53" w:rsidRDefault="00A910F3" w:rsidP="00DB6355">
            <w:pPr>
              <w:jc w:val="center"/>
              <w:rPr>
                <w:rStyle w:val="nfase"/>
                <w:rFonts w:ascii="Arial" w:hAnsi="Arial" w:cs="Arial"/>
                <w:i w:val="0"/>
                <w:sz w:val="12"/>
                <w:szCs w:val="12"/>
              </w:rPr>
            </w:pPr>
          </w:p>
        </w:tc>
        <w:tc>
          <w:tcPr>
            <w:tcW w:w="2972" w:type="dxa"/>
          </w:tcPr>
          <w:p w14:paraId="03C5F082" w14:textId="77777777" w:rsidR="00A910F3" w:rsidRPr="00051F53" w:rsidRDefault="00A910F3" w:rsidP="00DB6355">
            <w:pPr>
              <w:rPr>
                <w:rStyle w:val="nfase"/>
                <w:rFonts w:ascii="Arial" w:hAnsi="Arial" w:cs="Arial"/>
                <w:b/>
                <w:i w:val="0"/>
                <w:sz w:val="12"/>
                <w:szCs w:val="12"/>
              </w:rPr>
            </w:pPr>
          </w:p>
          <w:p w14:paraId="5BA85C4E"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Exclusiva ME/EPP?</w:t>
            </w:r>
          </w:p>
          <w:p w14:paraId="64E9F533" w14:textId="6BD7C683" w:rsidR="00A910F3" w:rsidRPr="00D46314" w:rsidRDefault="00ED4C94" w:rsidP="00DB6355">
            <w:pPr>
              <w:rPr>
                <w:rStyle w:val="nfase"/>
                <w:rFonts w:ascii="Arial" w:hAnsi="Arial" w:cs="Arial"/>
                <w:i w:val="0"/>
                <w:sz w:val="20"/>
                <w:szCs w:val="20"/>
              </w:rPr>
            </w:pPr>
            <w:r>
              <w:rPr>
                <w:rStyle w:val="nfase"/>
                <w:rFonts w:ascii="Arial" w:hAnsi="Arial" w:cs="Arial"/>
                <w:i w:val="0"/>
                <w:sz w:val="20"/>
                <w:szCs w:val="20"/>
              </w:rPr>
              <w:t>Sim</w:t>
            </w:r>
            <w:r w:rsidR="00273506">
              <w:rPr>
                <w:rStyle w:val="nfase"/>
                <w:rFonts w:ascii="Arial" w:hAnsi="Arial" w:cs="Arial"/>
                <w:i w:val="0"/>
                <w:sz w:val="20"/>
                <w:szCs w:val="20"/>
              </w:rPr>
              <w:t>.</w:t>
            </w:r>
          </w:p>
          <w:p w14:paraId="7E708FB2" w14:textId="77777777" w:rsidR="00A910F3" w:rsidRPr="00051F53" w:rsidRDefault="00A910F3" w:rsidP="00DB6355">
            <w:pPr>
              <w:jc w:val="center"/>
              <w:rPr>
                <w:rStyle w:val="nfase"/>
                <w:rFonts w:ascii="Arial" w:hAnsi="Arial" w:cs="Arial"/>
                <w:i w:val="0"/>
                <w:sz w:val="12"/>
                <w:szCs w:val="12"/>
              </w:rPr>
            </w:pPr>
          </w:p>
        </w:tc>
        <w:tc>
          <w:tcPr>
            <w:tcW w:w="2549" w:type="dxa"/>
          </w:tcPr>
          <w:p w14:paraId="3F45AEA1" w14:textId="77777777" w:rsidR="00A910F3" w:rsidRPr="00051F53" w:rsidRDefault="00A910F3" w:rsidP="00DB6355">
            <w:pPr>
              <w:rPr>
                <w:rStyle w:val="nfase"/>
                <w:rFonts w:ascii="Arial" w:hAnsi="Arial" w:cs="Arial"/>
                <w:b/>
                <w:i w:val="0"/>
                <w:sz w:val="12"/>
                <w:szCs w:val="12"/>
              </w:rPr>
            </w:pPr>
          </w:p>
          <w:p w14:paraId="6F491FD7" w14:textId="77777777" w:rsidR="00A910F3" w:rsidRPr="00D46314" w:rsidRDefault="00A910F3" w:rsidP="00DB6355">
            <w:pPr>
              <w:rPr>
                <w:rStyle w:val="nfase"/>
                <w:rFonts w:ascii="Arial" w:hAnsi="Arial" w:cs="Arial"/>
                <w:b/>
                <w:i w:val="0"/>
                <w:sz w:val="20"/>
                <w:szCs w:val="20"/>
              </w:rPr>
            </w:pPr>
            <w:r w:rsidRPr="00D46314">
              <w:rPr>
                <w:rStyle w:val="nfase"/>
                <w:rFonts w:ascii="Arial" w:hAnsi="Arial" w:cs="Arial"/>
                <w:b/>
                <w:i w:val="0"/>
                <w:sz w:val="20"/>
                <w:szCs w:val="20"/>
              </w:rPr>
              <w:t>Processo:</w:t>
            </w:r>
          </w:p>
          <w:p w14:paraId="635774A3" w14:textId="5D88B25F" w:rsidR="00A910F3" w:rsidRPr="00D46314" w:rsidRDefault="00E81B53" w:rsidP="00DB6355">
            <w:pPr>
              <w:rPr>
                <w:rStyle w:val="nfase"/>
                <w:rFonts w:ascii="Arial" w:hAnsi="Arial" w:cs="Arial"/>
                <w:i w:val="0"/>
                <w:sz w:val="20"/>
                <w:szCs w:val="20"/>
              </w:rPr>
            </w:pPr>
            <w:r>
              <w:rPr>
                <w:rStyle w:val="nfase"/>
                <w:rFonts w:ascii="Arial" w:hAnsi="Arial" w:cs="Arial"/>
                <w:i w:val="0"/>
                <w:sz w:val="20"/>
                <w:szCs w:val="20"/>
              </w:rPr>
              <w:t>2.227/2024</w:t>
            </w:r>
          </w:p>
          <w:p w14:paraId="2D228308" w14:textId="77777777" w:rsidR="00A910F3" w:rsidRPr="00051F53" w:rsidRDefault="00A910F3" w:rsidP="00DB6355">
            <w:pPr>
              <w:jc w:val="center"/>
              <w:rPr>
                <w:rStyle w:val="nfase"/>
                <w:rFonts w:ascii="Arial" w:hAnsi="Arial" w:cs="Arial"/>
                <w:i w:val="0"/>
                <w:sz w:val="12"/>
                <w:szCs w:val="12"/>
              </w:rPr>
            </w:pPr>
          </w:p>
        </w:tc>
      </w:tr>
      <w:tr w:rsidR="00A910F3" w:rsidRPr="00051F53" w14:paraId="3408AEF3" w14:textId="77777777" w:rsidTr="00DB6355">
        <w:tc>
          <w:tcPr>
            <w:tcW w:w="2548" w:type="dxa"/>
          </w:tcPr>
          <w:p w14:paraId="2C5A4DE1" w14:textId="77777777" w:rsidR="00A910F3" w:rsidRPr="00051F53" w:rsidRDefault="00A910F3" w:rsidP="00DB6355">
            <w:pPr>
              <w:jc w:val="center"/>
              <w:rPr>
                <w:rStyle w:val="nfase"/>
                <w:rFonts w:ascii="Arial" w:hAnsi="Arial" w:cs="Arial"/>
                <w:i w:val="0"/>
                <w:sz w:val="12"/>
                <w:szCs w:val="12"/>
              </w:rPr>
            </w:pPr>
          </w:p>
          <w:p w14:paraId="1F6A83C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544D8D35" w14:textId="0AFDD670" w:rsidR="00A910F3" w:rsidRPr="00051F53" w:rsidRDefault="00273506" w:rsidP="00DB6355">
            <w:pPr>
              <w:rPr>
                <w:rStyle w:val="nfase"/>
                <w:rFonts w:ascii="Arial" w:hAnsi="Arial" w:cs="Arial"/>
                <w:i w:val="0"/>
                <w:sz w:val="20"/>
                <w:szCs w:val="20"/>
              </w:rPr>
            </w:pPr>
            <w:r>
              <w:rPr>
                <w:rStyle w:val="nfase"/>
                <w:rFonts w:ascii="Arial" w:hAnsi="Arial" w:cs="Arial"/>
                <w:i w:val="0"/>
                <w:sz w:val="20"/>
                <w:szCs w:val="20"/>
              </w:rPr>
              <w:t xml:space="preserve">Global </w:t>
            </w:r>
          </w:p>
          <w:p w14:paraId="3E2EFB07" w14:textId="77777777" w:rsidR="00A910F3" w:rsidRPr="00051F53" w:rsidRDefault="00A910F3" w:rsidP="00DB6355">
            <w:pPr>
              <w:rPr>
                <w:rStyle w:val="nfase"/>
                <w:rFonts w:ascii="Arial" w:hAnsi="Arial" w:cs="Arial"/>
                <w:i w:val="0"/>
                <w:sz w:val="12"/>
                <w:szCs w:val="12"/>
              </w:rPr>
            </w:pPr>
          </w:p>
        </w:tc>
        <w:tc>
          <w:tcPr>
            <w:tcW w:w="2125" w:type="dxa"/>
          </w:tcPr>
          <w:p w14:paraId="2B610E0A" w14:textId="77777777" w:rsidR="00A910F3" w:rsidRPr="00051F53" w:rsidRDefault="00A910F3" w:rsidP="00DB6355">
            <w:pPr>
              <w:rPr>
                <w:rStyle w:val="nfase"/>
                <w:rFonts w:ascii="Arial" w:hAnsi="Arial" w:cs="Arial"/>
                <w:b/>
                <w:i w:val="0"/>
                <w:sz w:val="12"/>
                <w:szCs w:val="12"/>
              </w:rPr>
            </w:pPr>
          </w:p>
          <w:p w14:paraId="45646EF3"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Vistoria:</w:t>
            </w:r>
          </w:p>
          <w:p w14:paraId="39012789" w14:textId="6408D5F7" w:rsidR="00A910F3" w:rsidRPr="00051F53" w:rsidRDefault="00834457" w:rsidP="00DB6355">
            <w:pPr>
              <w:rPr>
                <w:rStyle w:val="nfase"/>
                <w:rFonts w:ascii="Arial" w:hAnsi="Arial" w:cs="Arial"/>
                <w:i w:val="0"/>
                <w:sz w:val="20"/>
                <w:szCs w:val="20"/>
              </w:rPr>
            </w:pPr>
            <w:r>
              <w:rPr>
                <w:rStyle w:val="nfase"/>
                <w:rFonts w:ascii="Arial" w:hAnsi="Arial" w:cs="Arial"/>
                <w:i w:val="0"/>
                <w:sz w:val="20"/>
                <w:szCs w:val="20"/>
              </w:rPr>
              <w:t>Não</w:t>
            </w:r>
          </w:p>
          <w:p w14:paraId="7C5682A4" w14:textId="77777777" w:rsidR="00A910F3" w:rsidRPr="00051F53" w:rsidRDefault="00A910F3" w:rsidP="00DB6355">
            <w:pPr>
              <w:jc w:val="center"/>
              <w:rPr>
                <w:rStyle w:val="nfase"/>
                <w:rFonts w:ascii="Arial" w:hAnsi="Arial" w:cs="Arial"/>
                <w:i w:val="0"/>
                <w:sz w:val="12"/>
                <w:szCs w:val="12"/>
              </w:rPr>
            </w:pPr>
          </w:p>
        </w:tc>
        <w:tc>
          <w:tcPr>
            <w:tcW w:w="2972" w:type="dxa"/>
          </w:tcPr>
          <w:p w14:paraId="1DDEBF8C" w14:textId="77777777" w:rsidR="00A910F3" w:rsidRPr="00051F53" w:rsidRDefault="00A910F3" w:rsidP="00DB6355">
            <w:pPr>
              <w:rPr>
                <w:rStyle w:val="nfase"/>
                <w:rFonts w:ascii="Arial" w:hAnsi="Arial" w:cs="Arial"/>
                <w:b/>
                <w:i w:val="0"/>
                <w:sz w:val="12"/>
                <w:szCs w:val="12"/>
              </w:rPr>
            </w:pPr>
          </w:p>
          <w:p w14:paraId="05671BFB"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90F8C"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73C663DE" w14:textId="77777777" w:rsidR="00A910F3" w:rsidRPr="00051F53" w:rsidRDefault="00A910F3" w:rsidP="00DB6355">
            <w:pPr>
              <w:jc w:val="center"/>
              <w:rPr>
                <w:rStyle w:val="nfase"/>
                <w:rFonts w:ascii="Arial" w:hAnsi="Arial" w:cs="Arial"/>
                <w:i w:val="0"/>
                <w:sz w:val="12"/>
                <w:szCs w:val="12"/>
              </w:rPr>
            </w:pPr>
          </w:p>
        </w:tc>
        <w:tc>
          <w:tcPr>
            <w:tcW w:w="2549" w:type="dxa"/>
          </w:tcPr>
          <w:p w14:paraId="1CF23F13" w14:textId="77777777" w:rsidR="00A910F3" w:rsidRPr="00051F53" w:rsidRDefault="00A910F3" w:rsidP="00DB6355">
            <w:pPr>
              <w:rPr>
                <w:rStyle w:val="nfase"/>
                <w:rFonts w:ascii="Arial" w:hAnsi="Arial" w:cs="Arial"/>
                <w:b/>
                <w:i w:val="0"/>
                <w:sz w:val="12"/>
                <w:szCs w:val="12"/>
              </w:rPr>
            </w:pPr>
          </w:p>
          <w:p w14:paraId="146A8675" w14:textId="77777777" w:rsidR="00A910F3" w:rsidRPr="00051F53" w:rsidRDefault="00A910F3" w:rsidP="00DB6355">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55B50614"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1CB7035C" w14:textId="77777777" w:rsidR="00A910F3" w:rsidRPr="00051F53" w:rsidRDefault="00A910F3" w:rsidP="00DB6355">
            <w:pPr>
              <w:jc w:val="center"/>
              <w:rPr>
                <w:rStyle w:val="nfase"/>
                <w:rFonts w:ascii="Arial" w:hAnsi="Arial" w:cs="Arial"/>
                <w:i w:val="0"/>
                <w:sz w:val="12"/>
                <w:szCs w:val="12"/>
              </w:rPr>
            </w:pPr>
          </w:p>
        </w:tc>
      </w:tr>
      <w:tr w:rsidR="00A910F3" w:rsidRPr="00051F53" w14:paraId="7F6E7E65" w14:textId="77777777" w:rsidTr="00DB6355">
        <w:tc>
          <w:tcPr>
            <w:tcW w:w="2548" w:type="dxa"/>
          </w:tcPr>
          <w:p w14:paraId="4C2C618A" w14:textId="77777777" w:rsidR="00A910F3" w:rsidRPr="00051F53" w:rsidRDefault="00A910F3" w:rsidP="00DB6355">
            <w:pPr>
              <w:jc w:val="center"/>
              <w:rPr>
                <w:rStyle w:val="nfase"/>
                <w:rFonts w:ascii="Arial" w:hAnsi="Arial" w:cs="Arial"/>
                <w:i w:val="0"/>
                <w:sz w:val="12"/>
                <w:szCs w:val="12"/>
              </w:rPr>
            </w:pPr>
          </w:p>
          <w:p w14:paraId="5DA6CCFD"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312E63E5" w14:textId="0C6D19F0" w:rsidR="00F92485" w:rsidRDefault="00F92485" w:rsidP="00DB6355">
            <w:pPr>
              <w:ind w:left="34"/>
              <w:rPr>
                <w:rStyle w:val="nfase"/>
                <w:rFonts w:ascii="Arial" w:hAnsi="Arial" w:cs="Arial"/>
                <w:i w:val="0"/>
                <w:sz w:val="20"/>
                <w:szCs w:val="20"/>
              </w:rPr>
            </w:pPr>
            <w:r>
              <w:rPr>
                <w:rStyle w:val="nfase"/>
                <w:rFonts w:ascii="Arial" w:hAnsi="Arial" w:cs="Arial"/>
                <w:i w:val="0"/>
                <w:sz w:val="20"/>
                <w:szCs w:val="20"/>
              </w:rPr>
              <w:t>R$</w:t>
            </w:r>
            <w:r w:rsidR="00027862">
              <w:rPr>
                <w:rStyle w:val="nfase"/>
                <w:rFonts w:ascii="Arial" w:hAnsi="Arial" w:cs="Arial"/>
                <w:i w:val="0"/>
                <w:sz w:val="20"/>
                <w:szCs w:val="20"/>
              </w:rPr>
              <w:t xml:space="preserve"> </w:t>
            </w:r>
            <w:r w:rsidR="00027862">
              <w:rPr>
                <w:rFonts w:ascii="ArialMT" w:hAnsi="ArialMT" w:cs="ArialMT"/>
                <w:sz w:val="20"/>
                <w:szCs w:val="20"/>
                <w:lang w:eastAsia="en-US"/>
              </w:rPr>
              <w:t>70.147,50</w:t>
            </w:r>
          </w:p>
          <w:p w14:paraId="67664BAD" w14:textId="77777777" w:rsidR="00A910F3" w:rsidRPr="00051F53" w:rsidRDefault="00A910F3" w:rsidP="00E81B53">
            <w:pPr>
              <w:ind w:left="34"/>
              <w:rPr>
                <w:rStyle w:val="nfase"/>
                <w:rFonts w:ascii="Arial" w:hAnsi="Arial" w:cs="Arial"/>
                <w:i w:val="0"/>
                <w:sz w:val="16"/>
                <w:szCs w:val="16"/>
              </w:rPr>
            </w:pPr>
          </w:p>
        </w:tc>
        <w:tc>
          <w:tcPr>
            <w:tcW w:w="2125" w:type="dxa"/>
          </w:tcPr>
          <w:p w14:paraId="5A722228" w14:textId="77777777" w:rsidR="00A910F3" w:rsidRPr="00051F53" w:rsidRDefault="00A910F3" w:rsidP="00DB6355">
            <w:pPr>
              <w:rPr>
                <w:rStyle w:val="nfase"/>
                <w:rFonts w:ascii="Arial" w:hAnsi="Arial" w:cs="Arial"/>
                <w:b/>
                <w:i w:val="0"/>
                <w:sz w:val="12"/>
                <w:szCs w:val="12"/>
              </w:rPr>
            </w:pPr>
          </w:p>
          <w:p w14:paraId="67955177"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6632283" w14:textId="22C1913F" w:rsidR="00A910F3" w:rsidRPr="00051F53" w:rsidRDefault="00D9096B" w:rsidP="00DB6355">
            <w:pPr>
              <w:rPr>
                <w:rStyle w:val="nfase"/>
                <w:rFonts w:ascii="Arial" w:hAnsi="Arial" w:cs="Arial"/>
                <w:i w:val="0"/>
                <w:sz w:val="20"/>
                <w:szCs w:val="20"/>
              </w:rPr>
            </w:pPr>
            <w:r>
              <w:rPr>
                <w:rStyle w:val="nfase"/>
                <w:rFonts w:ascii="Arial" w:hAnsi="Arial" w:cs="Arial"/>
                <w:i w:val="0"/>
                <w:sz w:val="20"/>
                <w:szCs w:val="20"/>
              </w:rPr>
              <w:t xml:space="preserve">Ver item </w:t>
            </w:r>
            <w:r w:rsidR="00273506">
              <w:rPr>
                <w:rStyle w:val="nfase"/>
                <w:rFonts w:ascii="Arial" w:hAnsi="Arial" w:cs="Arial"/>
                <w:i w:val="0"/>
                <w:sz w:val="20"/>
                <w:szCs w:val="20"/>
              </w:rPr>
              <w:t>9</w:t>
            </w:r>
            <w:r>
              <w:rPr>
                <w:rStyle w:val="nfase"/>
                <w:rFonts w:ascii="Arial" w:hAnsi="Arial" w:cs="Arial"/>
                <w:i w:val="0"/>
                <w:sz w:val="20"/>
                <w:szCs w:val="20"/>
              </w:rPr>
              <w:t xml:space="preserve"> do TR</w:t>
            </w:r>
            <w:r w:rsidR="00A910F3">
              <w:rPr>
                <w:rStyle w:val="nfase"/>
                <w:rFonts w:ascii="Arial" w:hAnsi="Arial" w:cs="Arial"/>
                <w:i w:val="0"/>
                <w:sz w:val="20"/>
                <w:szCs w:val="20"/>
              </w:rPr>
              <w:t>.</w:t>
            </w:r>
          </w:p>
          <w:p w14:paraId="042FE518" w14:textId="77777777" w:rsidR="00A910F3" w:rsidRPr="00051F53" w:rsidRDefault="00A910F3" w:rsidP="00DB6355">
            <w:pPr>
              <w:jc w:val="center"/>
              <w:rPr>
                <w:rStyle w:val="nfase"/>
                <w:rFonts w:ascii="Arial" w:hAnsi="Arial" w:cs="Arial"/>
                <w:i w:val="0"/>
                <w:sz w:val="12"/>
                <w:szCs w:val="12"/>
              </w:rPr>
            </w:pPr>
          </w:p>
        </w:tc>
        <w:tc>
          <w:tcPr>
            <w:tcW w:w="2972" w:type="dxa"/>
          </w:tcPr>
          <w:p w14:paraId="3C74739B" w14:textId="77777777" w:rsidR="00A910F3" w:rsidRPr="00051F53" w:rsidRDefault="00A910F3" w:rsidP="00DB6355">
            <w:pPr>
              <w:rPr>
                <w:rStyle w:val="nfase"/>
                <w:rFonts w:ascii="Arial" w:hAnsi="Arial" w:cs="Arial"/>
                <w:b/>
                <w:i w:val="0"/>
                <w:sz w:val="12"/>
                <w:szCs w:val="12"/>
              </w:rPr>
            </w:pPr>
          </w:p>
          <w:p w14:paraId="5A83C963"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0CD1D121"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6850A39F" w14:textId="77777777" w:rsidR="00A910F3" w:rsidRPr="00051F53" w:rsidRDefault="00A910F3" w:rsidP="00DB6355">
            <w:pPr>
              <w:jc w:val="center"/>
              <w:rPr>
                <w:rStyle w:val="nfase"/>
                <w:rFonts w:ascii="Arial" w:hAnsi="Arial" w:cs="Arial"/>
                <w:i w:val="0"/>
                <w:sz w:val="16"/>
                <w:szCs w:val="16"/>
              </w:rPr>
            </w:pPr>
          </w:p>
        </w:tc>
        <w:tc>
          <w:tcPr>
            <w:tcW w:w="2549" w:type="dxa"/>
          </w:tcPr>
          <w:p w14:paraId="78A1F349" w14:textId="77777777" w:rsidR="00A910F3" w:rsidRPr="00051F53" w:rsidRDefault="00A910F3" w:rsidP="00DB6355">
            <w:pPr>
              <w:rPr>
                <w:rStyle w:val="nfase"/>
                <w:rFonts w:ascii="Arial" w:hAnsi="Arial" w:cs="Arial"/>
                <w:b/>
                <w:i w:val="0"/>
                <w:sz w:val="12"/>
                <w:szCs w:val="12"/>
              </w:rPr>
            </w:pPr>
          </w:p>
          <w:p w14:paraId="77FF2044" w14:textId="77777777" w:rsidR="00A910F3" w:rsidRPr="00051F53" w:rsidRDefault="00A910F3" w:rsidP="00DB6355">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1185CE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Não.</w:t>
            </w:r>
          </w:p>
          <w:p w14:paraId="55502A2A" w14:textId="77777777" w:rsidR="00A910F3" w:rsidRPr="00051F53" w:rsidRDefault="00A910F3" w:rsidP="00DB6355">
            <w:pPr>
              <w:jc w:val="center"/>
              <w:rPr>
                <w:rStyle w:val="nfase"/>
                <w:rFonts w:ascii="Arial" w:hAnsi="Arial" w:cs="Arial"/>
                <w:i w:val="0"/>
                <w:sz w:val="16"/>
                <w:szCs w:val="16"/>
              </w:rPr>
            </w:pPr>
          </w:p>
        </w:tc>
      </w:tr>
      <w:tr w:rsidR="00A910F3" w:rsidRPr="00051F53" w14:paraId="65C0AF72" w14:textId="77777777" w:rsidTr="00DB6355">
        <w:tc>
          <w:tcPr>
            <w:tcW w:w="10194" w:type="dxa"/>
            <w:gridSpan w:val="4"/>
          </w:tcPr>
          <w:p w14:paraId="4CF3F388" w14:textId="77777777" w:rsidR="00A910F3" w:rsidRPr="00051F53" w:rsidRDefault="00A910F3" w:rsidP="00DB6355">
            <w:pPr>
              <w:rPr>
                <w:rStyle w:val="nfase"/>
                <w:rFonts w:ascii="Arial" w:hAnsi="Arial" w:cs="Arial"/>
                <w:b/>
                <w:i w:val="0"/>
                <w:sz w:val="12"/>
                <w:szCs w:val="12"/>
              </w:rPr>
            </w:pPr>
          </w:p>
          <w:p w14:paraId="45D29893"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Pedidos de esclarecimento e impugnações:</w:t>
            </w:r>
          </w:p>
          <w:p w14:paraId="3B341605" w14:textId="77777777" w:rsidR="00A910F3" w:rsidRPr="00D46314" w:rsidRDefault="00A910F3" w:rsidP="00DB6355">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583D96C1" w14:textId="77777777" w:rsidR="00A910F3" w:rsidRPr="00D46314" w:rsidRDefault="00A910F3" w:rsidP="00DB6355">
            <w:pPr>
              <w:rPr>
                <w:rStyle w:val="nfase"/>
                <w:rFonts w:ascii="Arial" w:hAnsi="Arial" w:cs="Arial"/>
                <w:i w:val="0"/>
                <w:sz w:val="12"/>
                <w:szCs w:val="12"/>
              </w:rPr>
            </w:pPr>
          </w:p>
          <w:p w14:paraId="4DCD5B41" w14:textId="77777777" w:rsidR="00A910F3" w:rsidRPr="00D6262B" w:rsidRDefault="00A910F3" w:rsidP="00DB6355">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5A32B117" w14:textId="77777777" w:rsidR="00A910F3" w:rsidRPr="00051F53" w:rsidRDefault="00A910F3" w:rsidP="00DB6355">
            <w:pPr>
              <w:rPr>
                <w:rStyle w:val="nfase"/>
                <w:rFonts w:ascii="Arial" w:hAnsi="Arial" w:cs="Arial"/>
                <w:i w:val="0"/>
                <w:sz w:val="12"/>
                <w:szCs w:val="12"/>
              </w:rPr>
            </w:pPr>
          </w:p>
        </w:tc>
      </w:tr>
      <w:tr w:rsidR="00A910F3" w:rsidRPr="00051F53" w14:paraId="500E5B1C" w14:textId="77777777" w:rsidTr="00C066C1">
        <w:trPr>
          <w:trHeight w:val="868"/>
        </w:trPr>
        <w:tc>
          <w:tcPr>
            <w:tcW w:w="10194" w:type="dxa"/>
            <w:gridSpan w:val="4"/>
          </w:tcPr>
          <w:p w14:paraId="2C179E6D" w14:textId="77777777" w:rsidR="00A910F3" w:rsidRPr="00C066C1" w:rsidRDefault="00A910F3" w:rsidP="00DB6355">
            <w:pPr>
              <w:jc w:val="center"/>
              <w:rPr>
                <w:rStyle w:val="nfase"/>
                <w:rFonts w:ascii="Arial" w:hAnsi="Arial" w:cs="Arial"/>
                <w:b/>
                <w:i w:val="0"/>
                <w:sz w:val="22"/>
                <w:szCs w:val="22"/>
              </w:rPr>
            </w:pPr>
          </w:p>
          <w:p w14:paraId="212598A9" w14:textId="5DD962E6" w:rsidR="00A910F3" w:rsidRPr="00C066C1" w:rsidRDefault="00A910F3" w:rsidP="00DB6355">
            <w:pPr>
              <w:jc w:val="center"/>
              <w:rPr>
                <w:rStyle w:val="nfase"/>
                <w:rFonts w:ascii="Arial" w:hAnsi="Arial" w:cs="Arial"/>
                <w:i w:val="0"/>
                <w:sz w:val="22"/>
                <w:szCs w:val="22"/>
              </w:rPr>
            </w:pPr>
            <w:r w:rsidRPr="00C066C1">
              <w:rPr>
                <w:rStyle w:val="nfase"/>
                <w:rFonts w:ascii="Arial" w:hAnsi="Arial" w:cs="Arial"/>
                <w:b/>
                <w:i w:val="0"/>
                <w:sz w:val="22"/>
                <w:szCs w:val="22"/>
              </w:rPr>
              <w:t xml:space="preserve">Documentos de habilitação: </w:t>
            </w:r>
            <w:r w:rsidR="00AA2C69" w:rsidRPr="00C066C1">
              <w:rPr>
                <w:rStyle w:val="nfase"/>
                <w:rFonts w:ascii="Arial" w:hAnsi="Arial" w:cs="Arial"/>
                <w:b/>
                <w:i w:val="0"/>
                <w:sz w:val="22"/>
                <w:szCs w:val="22"/>
              </w:rPr>
              <w:t>VER ITEM 4 DO TERMO DE REFERÊNCIA</w:t>
            </w:r>
            <w:r w:rsidR="007B5F14" w:rsidRPr="00C066C1">
              <w:rPr>
                <w:rStyle w:val="nfase"/>
                <w:rFonts w:ascii="Arial" w:hAnsi="Arial" w:cs="Arial"/>
                <w:b/>
                <w:i w:val="0"/>
                <w:sz w:val="22"/>
                <w:szCs w:val="22"/>
              </w:rPr>
              <w:t xml:space="preserve"> (TR)</w:t>
            </w:r>
            <w:r w:rsidR="00AA2C69" w:rsidRPr="00C066C1">
              <w:rPr>
                <w:rStyle w:val="nfase"/>
                <w:rFonts w:ascii="Arial" w:hAnsi="Arial" w:cs="Arial"/>
                <w:i w:val="0"/>
                <w:sz w:val="22"/>
                <w:szCs w:val="22"/>
              </w:rPr>
              <w:t>.</w:t>
            </w:r>
          </w:p>
          <w:p w14:paraId="3A5E55CD" w14:textId="77777777" w:rsidR="00A910F3" w:rsidRPr="00C066C1" w:rsidRDefault="00A910F3" w:rsidP="00DB6355">
            <w:pPr>
              <w:jc w:val="center"/>
              <w:rPr>
                <w:rStyle w:val="nfase"/>
                <w:rFonts w:ascii="Arial" w:hAnsi="Arial" w:cs="Arial"/>
                <w:b/>
                <w:i w:val="0"/>
                <w:sz w:val="22"/>
                <w:szCs w:val="22"/>
              </w:rPr>
            </w:pPr>
          </w:p>
        </w:tc>
      </w:tr>
      <w:tr w:rsidR="007B5F14" w:rsidRPr="00051F53" w14:paraId="752ABD49" w14:textId="77777777" w:rsidTr="00787869">
        <w:trPr>
          <w:trHeight w:val="908"/>
        </w:trPr>
        <w:tc>
          <w:tcPr>
            <w:tcW w:w="10194" w:type="dxa"/>
            <w:gridSpan w:val="4"/>
          </w:tcPr>
          <w:p w14:paraId="6FC0D8F0" w14:textId="77777777" w:rsidR="007B5F14" w:rsidRPr="00C066C1" w:rsidRDefault="007B5F14" w:rsidP="00DB6355">
            <w:pPr>
              <w:jc w:val="center"/>
              <w:rPr>
                <w:rStyle w:val="nfase"/>
                <w:rFonts w:ascii="Arial" w:hAnsi="Arial" w:cs="Arial"/>
                <w:b/>
                <w:i w:val="0"/>
                <w:sz w:val="22"/>
                <w:szCs w:val="22"/>
              </w:rPr>
            </w:pPr>
          </w:p>
          <w:p w14:paraId="0276422A" w14:textId="5281BECA" w:rsidR="007B5F14" w:rsidRPr="00C066C1" w:rsidRDefault="007B5F14" w:rsidP="007B5F14">
            <w:pPr>
              <w:jc w:val="center"/>
              <w:rPr>
                <w:rStyle w:val="nfase"/>
                <w:rFonts w:ascii="Arial" w:hAnsi="Arial" w:cs="Arial"/>
                <w:i w:val="0"/>
                <w:sz w:val="22"/>
                <w:szCs w:val="22"/>
              </w:rPr>
            </w:pPr>
            <w:r w:rsidRPr="00C066C1">
              <w:rPr>
                <w:rStyle w:val="nfase"/>
                <w:rFonts w:ascii="Arial" w:hAnsi="Arial" w:cs="Arial"/>
                <w:b/>
                <w:i w:val="0"/>
                <w:sz w:val="22"/>
                <w:szCs w:val="22"/>
              </w:rPr>
              <w:t xml:space="preserve">Critérios de Sustentabilidade: VER ITEM </w:t>
            </w:r>
            <w:r w:rsidR="00027862">
              <w:rPr>
                <w:rStyle w:val="nfase"/>
                <w:rFonts w:ascii="Arial" w:hAnsi="Arial" w:cs="Arial"/>
                <w:b/>
                <w:i w:val="0"/>
                <w:sz w:val="22"/>
                <w:szCs w:val="22"/>
              </w:rPr>
              <w:t>8</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p w14:paraId="0C09F5E3" w14:textId="03B91E02" w:rsidR="007B5F14" w:rsidRPr="00C066C1" w:rsidRDefault="007B5F14" w:rsidP="00DB6355">
            <w:pPr>
              <w:jc w:val="center"/>
              <w:rPr>
                <w:rStyle w:val="nfase"/>
                <w:rFonts w:ascii="Arial" w:hAnsi="Arial" w:cs="Arial"/>
                <w:b/>
                <w:i w:val="0"/>
                <w:sz w:val="22"/>
                <w:szCs w:val="22"/>
              </w:rPr>
            </w:pPr>
          </w:p>
        </w:tc>
      </w:tr>
      <w:tr w:rsidR="00A910F3" w:rsidRPr="00051F53" w14:paraId="3227EBB9" w14:textId="77777777" w:rsidTr="00DB6355">
        <w:tc>
          <w:tcPr>
            <w:tcW w:w="10194" w:type="dxa"/>
            <w:gridSpan w:val="4"/>
          </w:tcPr>
          <w:p w14:paraId="1BBEA343" w14:textId="77777777" w:rsidR="00A910F3" w:rsidRPr="00051F53" w:rsidRDefault="00A910F3" w:rsidP="00DB6355">
            <w:pPr>
              <w:jc w:val="center"/>
              <w:rPr>
                <w:rStyle w:val="nfase"/>
                <w:rFonts w:ascii="Arial" w:hAnsi="Arial" w:cs="Arial"/>
                <w:i w:val="0"/>
                <w:sz w:val="12"/>
                <w:szCs w:val="12"/>
              </w:rPr>
            </w:pPr>
          </w:p>
          <w:p w14:paraId="7B8A1269"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Prazo para envio de proposta / documentação:</w:t>
            </w:r>
          </w:p>
          <w:p w14:paraId="7AF13483" w14:textId="77777777" w:rsidR="00A910F3" w:rsidRPr="00051F53" w:rsidRDefault="00A910F3" w:rsidP="00DB6355">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Pregoeiro. </w:t>
            </w:r>
          </w:p>
          <w:p w14:paraId="127874DD" w14:textId="77777777" w:rsidR="00A910F3" w:rsidRPr="00051F53" w:rsidRDefault="00A910F3" w:rsidP="00DB6355">
            <w:pPr>
              <w:jc w:val="center"/>
              <w:rPr>
                <w:rStyle w:val="nfase"/>
                <w:rFonts w:ascii="Arial" w:hAnsi="Arial" w:cs="Arial"/>
                <w:i w:val="0"/>
                <w:sz w:val="12"/>
                <w:szCs w:val="12"/>
              </w:rPr>
            </w:pPr>
          </w:p>
        </w:tc>
      </w:tr>
      <w:tr w:rsidR="00A910F3" w:rsidRPr="00981AB3" w14:paraId="21CC7801" w14:textId="77777777" w:rsidTr="00DB6355">
        <w:tc>
          <w:tcPr>
            <w:tcW w:w="10194" w:type="dxa"/>
            <w:gridSpan w:val="4"/>
          </w:tcPr>
          <w:p w14:paraId="408ADCD7" w14:textId="77777777" w:rsidR="00A910F3" w:rsidRPr="00051F53" w:rsidRDefault="00A910F3" w:rsidP="00DB6355">
            <w:pPr>
              <w:jc w:val="center"/>
              <w:rPr>
                <w:rStyle w:val="nfase"/>
                <w:rFonts w:ascii="Arial" w:hAnsi="Arial" w:cs="Arial"/>
                <w:i w:val="0"/>
                <w:sz w:val="12"/>
                <w:szCs w:val="12"/>
              </w:rPr>
            </w:pPr>
          </w:p>
          <w:p w14:paraId="2A470CA2" w14:textId="77777777" w:rsidR="00A910F3" w:rsidRPr="00051F53" w:rsidRDefault="00A910F3" w:rsidP="00DB6355">
            <w:pPr>
              <w:rPr>
                <w:rStyle w:val="nfase"/>
                <w:rFonts w:ascii="Arial" w:hAnsi="Arial" w:cs="Arial"/>
                <w:b/>
                <w:i w:val="0"/>
              </w:rPr>
            </w:pPr>
            <w:r w:rsidRPr="00051F53">
              <w:rPr>
                <w:rStyle w:val="nfase"/>
                <w:rFonts w:ascii="Arial" w:hAnsi="Arial" w:cs="Arial"/>
                <w:b/>
                <w:i w:val="0"/>
              </w:rPr>
              <w:t>Observações Gerais:</w:t>
            </w:r>
          </w:p>
          <w:p w14:paraId="02BC653E" w14:textId="77777777" w:rsidR="00A910F3" w:rsidRPr="00051F53" w:rsidRDefault="00A910F3" w:rsidP="00DB6355">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084AC74" w14:textId="77777777" w:rsidR="00A910F3" w:rsidRPr="00051F53" w:rsidRDefault="00A910F3" w:rsidP="00DB6355">
            <w:pPr>
              <w:jc w:val="both"/>
              <w:rPr>
                <w:rStyle w:val="nfase"/>
                <w:rFonts w:ascii="Arial" w:hAnsi="Arial" w:cs="Arial"/>
                <w:i w:val="0"/>
                <w:sz w:val="12"/>
                <w:szCs w:val="12"/>
              </w:rPr>
            </w:pPr>
          </w:p>
          <w:p w14:paraId="4CD8A912" w14:textId="77777777" w:rsidR="00A910F3" w:rsidRPr="00051F53" w:rsidRDefault="00A910F3" w:rsidP="00DB6355">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DAFA98" w14:textId="77777777" w:rsidR="00A910F3" w:rsidRPr="00981AB3" w:rsidRDefault="00A910F3" w:rsidP="00DB6355">
            <w:pPr>
              <w:rPr>
                <w:rStyle w:val="nfase"/>
                <w:rFonts w:ascii="Arial" w:hAnsi="Arial" w:cs="Arial"/>
                <w:b/>
                <w:i w:val="0"/>
                <w:sz w:val="12"/>
                <w:szCs w:val="12"/>
              </w:rPr>
            </w:pPr>
          </w:p>
        </w:tc>
      </w:tr>
    </w:tbl>
    <w:p w14:paraId="3C248F96" w14:textId="77777777" w:rsidR="00A910F3" w:rsidRDefault="00A910F3" w:rsidP="00A910F3">
      <w:pPr>
        <w:jc w:val="center"/>
        <w:rPr>
          <w:rStyle w:val="nfase"/>
          <w:rFonts w:ascii="Arial" w:hAnsi="Arial" w:cs="Arial"/>
          <w:b/>
          <w:i w:val="0"/>
          <w:sz w:val="22"/>
          <w:szCs w:val="22"/>
        </w:rPr>
      </w:pPr>
    </w:p>
    <w:p w14:paraId="61A5436F" w14:textId="77777777" w:rsidR="00A910F3" w:rsidRDefault="00A910F3" w:rsidP="00A910F3">
      <w:pPr>
        <w:jc w:val="center"/>
        <w:rPr>
          <w:rStyle w:val="nfase"/>
          <w:rFonts w:ascii="Arial" w:hAnsi="Arial" w:cs="Arial"/>
          <w:b/>
          <w:i w:val="0"/>
          <w:sz w:val="22"/>
          <w:szCs w:val="22"/>
        </w:rPr>
      </w:pPr>
    </w:p>
    <w:p w14:paraId="2FD786C8" w14:textId="77777777" w:rsidR="00275240" w:rsidRDefault="00275240" w:rsidP="008F330B">
      <w:pPr>
        <w:spacing w:beforeLines="120" w:before="288" w:afterLines="120" w:after="288" w:line="312" w:lineRule="auto"/>
        <w:ind w:firstLine="567"/>
        <w:jc w:val="center"/>
        <w:rPr>
          <w:rFonts w:ascii="Arial" w:hAnsi="Arial" w:cs="Arial"/>
          <w:b/>
          <w:color w:val="000000"/>
          <w:sz w:val="20"/>
          <w:szCs w:val="20"/>
        </w:rPr>
      </w:pPr>
      <w:bookmarkStart w:id="0" w:name="_GoBack"/>
      <w:bookmarkEnd w:id="0"/>
    </w:p>
    <w:p w14:paraId="79841B6D" w14:textId="06FC108E"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E81B53">
        <w:rPr>
          <w:rFonts w:ascii="Arial" w:hAnsi="Arial" w:cs="Arial"/>
          <w:b/>
          <w:color w:val="000000"/>
          <w:sz w:val="20"/>
          <w:szCs w:val="20"/>
        </w:rPr>
        <w:t>90005/2025</w:t>
      </w:r>
    </w:p>
    <w:p w14:paraId="1CC7C9FE" w14:textId="40C47E08"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256E45">
        <w:rPr>
          <w:rFonts w:ascii="Arial" w:hAnsi="Arial" w:cs="Arial"/>
          <w:bCs/>
          <w:color w:val="000000"/>
          <w:sz w:val="20"/>
          <w:szCs w:val="20"/>
        </w:rPr>
        <w:t>2.227/2024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4B9D4E29"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00514759">
        <w:rPr>
          <w:rFonts w:ascii="Arial" w:hAnsi="Arial" w:cs="Arial"/>
          <w:color w:val="000000"/>
          <w:sz w:val="20"/>
          <w:szCs w:val="20"/>
        </w:rPr>
        <w:t xml:space="preserve"> nº </w:t>
      </w:r>
      <w:r w:rsidR="00E81B53">
        <w:rPr>
          <w:rFonts w:ascii="Arial" w:hAnsi="Arial" w:cs="Arial"/>
          <w:color w:val="000000"/>
          <w:sz w:val="20"/>
          <w:szCs w:val="20"/>
        </w:rPr>
        <w:t>90005/2025</w:t>
      </w:r>
      <w:r w:rsidR="00514759">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no dia</w:t>
      </w:r>
      <w:r w:rsidR="00145A47">
        <w:rPr>
          <w:rFonts w:ascii="Arial" w:hAnsi="Arial" w:cs="Arial"/>
          <w:b/>
          <w:color w:val="000000"/>
          <w:sz w:val="20"/>
          <w:szCs w:val="20"/>
        </w:rPr>
        <w:t xml:space="preserve"> </w:t>
      </w:r>
      <w:r w:rsidR="004338DB">
        <w:rPr>
          <w:rFonts w:ascii="Arial" w:hAnsi="Arial" w:cs="Arial"/>
          <w:b/>
          <w:color w:val="000000"/>
          <w:sz w:val="20"/>
          <w:szCs w:val="20"/>
        </w:rPr>
        <w:t>6</w:t>
      </w:r>
      <w:r w:rsidR="001F2DC3" w:rsidRPr="001F2DC3">
        <w:rPr>
          <w:rFonts w:ascii="Arial" w:hAnsi="Arial" w:cs="Arial"/>
          <w:b/>
          <w:color w:val="000000"/>
          <w:sz w:val="20"/>
          <w:szCs w:val="20"/>
        </w:rPr>
        <w:t xml:space="preserve"> de </w:t>
      </w:r>
      <w:r w:rsidR="004338DB">
        <w:rPr>
          <w:rFonts w:ascii="Arial" w:hAnsi="Arial" w:cs="Arial"/>
          <w:b/>
          <w:color w:val="000000"/>
          <w:sz w:val="20"/>
          <w:szCs w:val="20"/>
        </w:rPr>
        <w:t xml:space="preserve">maio </w:t>
      </w:r>
      <w:r w:rsidR="00E9423F">
        <w:rPr>
          <w:rFonts w:ascii="Arial" w:hAnsi="Arial" w:cs="Arial"/>
          <w:b/>
          <w:color w:val="000000"/>
          <w:sz w:val="20"/>
          <w:szCs w:val="20"/>
        </w:rPr>
        <w:t>de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4338DB">
        <w:rPr>
          <w:rFonts w:ascii="Arial" w:hAnsi="Arial" w:cs="Arial"/>
          <w:b/>
          <w:color w:val="000000"/>
          <w:sz w:val="20"/>
          <w:szCs w:val="20"/>
        </w:rPr>
        <w:t>terça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75E3CFE1" w14:textId="349E4999" w:rsidR="009C7819" w:rsidRPr="009C7819" w:rsidRDefault="003C7A23" w:rsidP="00753DE2">
      <w:pPr>
        <w:pStyle w:val="Nivel2"/>
        <w:autoSpaceDE w:val="0"/>
        <w:autoSpaceDN w:val="0"/>
        <w:adjustRightInd w:val="0"/>
        <w:spacing w:beforeLines="120" w:before="288" w:afterLines="120" w:after="288" w:line="312" w:lineRule="auto"/>
        <w:ind w:left="993" w:hanging="567"/>
        <w:rPr>
          <w:rFonts w:eastAsia="Times New Roman"/>
          <w:color w:val="auto"/>
        </w:rPr>
      </w:pPr>
      <w:r w:rsidRPr="009C7819">
        <w:rPr>
          <w:rFonts w:eastAsia="Times New Roman"/>
          <w:color w:val="auto"/>
        </w:rPr>
        <w:t xml:space="preserve">O objeto da presente licitação é </w:t>
      </w:r>
      <w:r w:rsidR="00ED679C" w:rsidRPr="009C7819">
        <w:rPr>
          <w:rFonts w:eastAsia="Times New Roman"/>
          <w:color w:val="auto"/>
        </w:rPr>
        <w:t xml:space="preserve">a </w:t>
      </w:r>
      <w:r w:rsidR="009C7819" w:rsidRPr="009C7819">
        <w:rPr>
          <w:rFonts w:eastAsia="Times New Roman"/>
          <w:b/>
          <w:color w:val="auto"/>
        </w:rPr>
        <w:t>Contratação de empresa especializada para prestação de serviços de vacinação e imunização para as unidades de trabalho do TRT da 24ª Região</w:t>
      </w:r>
      <w:r w:rsidR="00A44136">
        <w:rPr>
          <w:rFonts w:eastAsia="Times New Roman"/>
          <w:b/>
          <w:color w:val="auto"/>
        </w:rPr>
        <w:t xml:space="preserve"> relacionadas no Anexo I do Termo de Referência</w:t>
      </w:r>
      <w:r w:rsidR="009C7819" w:rsidRPr="009C7819">
        <w:rPr>
          <w:rFonts w:eastAsia="Times New Roman"/>
          <w:b/>
          <w:color w:val="auto"/>
        </w:rPr>
        <w:t xml:space="preserve">, com o fornecimento, armazenamento e aplicação de doses de Vacina Antigripal (Vacina Influenza </w:t>
      </w:r>
      <w:proofErr w:type="spellStart"/>
      <w:r w:rsidR="009C7819" w:rsidRPr="009C7819">
        <w:rPr>
          <w:rFonts w:eastAsia="Times New Roman"/>
          <w:b/>
          <w:color w:val="auto"/>
        </w:rPr>
        <w:t>Quadrivalente</w:t>
      </w:r>
      <w:proofErr w:type="spellEnd"/>
      <w:r w:rsidR="009C7819" w:rsidRPr="009C7819">
        <w:rPr>
          <w:rFonts w:eastAsia="Times New Roman"/>
          <w:b/>
          <w:color w:val="auto"/>
        </w:rPr>
        <w:t>)</w:t>
      </w:r>
      <w:r w:rsidR="009C7819" w:rsidRPr="009C7819">
        <w:rPr>
          <w:rFonts w:eastAsia="Times New Roman"/>
          <w:color w:val="auto"/>
        </w:rPr>
        <w:t>, com vistas à adoção de medidas preventivas para redução do absenteísmo decorrente das complicações causadas pela gripe, otimização da utilização do plano de saúde, valorização e vínculo com magistrados e servidores inativos e alinhamento às diretrizes de valorização das pessoas, com promoção da justiça organizacional, conforme as especificações e condições constantes do Edital, do Termo de Referência (TR) e dos Anexos</w:t>
      </w:r>
    </w:p>
    <w:p w14:paraId="284E287C" w14:textId="77777777" w:rsidR="009C7819" w:rsidRDefault="008403CB" w:rsidP="008403CB">
      <w:pPr>
        <w:pStyle w:val="Nivel2"/>
        <w:numPr>
          <w:ilvl w:val="2"/>
          <w:numId w:val="1"/>
        </w:numPr>
        <w:autoSpaceDE w:val="0"/>
        <w:snapToGrid w:val="0"/>
        <w:spacing w:beforeLines="120" w:before="288" w:afterLines="120" w:after="288" w:line="312" w:lineRule="auto"/>
        <w:ind w:left="1701" w:hanging="708"/>
      </w:pPr>
      <w:r w:rsidRPr="006E1990">
        <w:t xml:space="preserve">A licitação será </w:t>
      </w:r>
      <w:r w:rsidR="009C7819">
        <w:t xml:space="preserve">em item </w:t>
      </w:r>
      <w:r w:rsidR="0080198A">
        <w:t>único</w:t>
      </w:r>
      <w:r>
        <w:t xml:space="preserve">, </w:t>
      </w:r>
      <w:r w:rsidRPr="00A1772D">
        <w:t>conforme tabela con</w:t>
      </w:r>
      <w:r w:rsidR="0080198A">
        <w:t>stante do</w:t>
      </w:r>
      <w:r w:rsidR="009C7819">
        <w:t xml:space="preserve"> Anexo II do</w:t>
      </w:r>
      <w:r w:rsidR="0080198A">
        <w:t xml:space="preserve"> Termo de Referência</w:t>
      </w:r>
      <w:r w:rsidR="009C7819">
        <w:t>.</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2" w:name="_Toc122606104"/>
      <w:r w:rsidRPr="006E1990">
        <w:t>DA PARTICIPAÇÃO NA LICITAÇÃO</w:t>
      </w:r>
      <w:bookmarkEnd w:id="2"/>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21ACC8CF" w:rsidR="00C73D5E" w:rsidRPr="00C73D5E" w:rsidRDefault="00312007" w:rsidP="00C73D5E">
      <w:pPr>
        <w:pStyle w:val="Nivel2"/>
        <w:spacing w:beforeLines="120" w:before="288" w:afterLines="120" w:after="288" w:line="312" w:lineRule="auto"/>
        <w:ind w:left="993" w:hanging="567"/>
        <w:rPr>
          <w:rFonts w:eastAsia="Times New Roman"/>
          <w:color w:val="auto"/>
        </w:rPr>
      </w:pPr>
      <w:bookmarkStart w:id="3" w:name="_Ref117000692"/>
      <w:r>
        <w:rPr>
          <w:rFonts w:eastAsia="Times New Roman"/>
          <w:color w:val="auto"/>
        </w:rPr>
        <w:t xml:space="preserve">A </w:t>
      </w:r>
      <w:r w:rsidR="00C73D5E" w:rsidRPr="00C73D5E">
        <w:rPr>
          <w:rFonts w:eastAsia="Times New Roman"/>
          <w:color w:val="auto"/>
        </w:rPr>
        <w:t>participação</w:t>
      </w:r>
      <w:r>
        <w:rPr>
          <w:rFonts w:eastAsia="Times New Roman"/>
          <w:color w:val="auto"/>
        </w:rPr>
        <w:t xml:space="preserve"> neste certame </w:t>
      </w:r>
      <w:r w:rsidR="00C73D5E" w:rsidRPr="00F12817">
        <w:rPr>
          <w:rFonts w:eastAsia="Times New Roman"/>
          <w:b/>
          <w:color w:val="auto"/>
        </w:rPr>
        <w:t>é exclusiva a microempresas e empresas de pequeno porte</w:t>
      </w:r>
      <w:r w:rsidR="00C73D5E" w:rsidRPr="00C73D5E">
        <w:rPr>
          <w:rFonts w:eastAsia="Times New Roman"/>
          <w:color w:val="auto"/>
        </w:rPr>
        <w:t>, nos termos do art. 48 da Lei Complementar nº 123</w:t>
      </w:r>
      <w:r>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4"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p w14:paraId="262AF273" w14:textId="26E3464A"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w:t>
      </w:r>
      <w:r w:rsidR="00312007">
        <w:rPr>
          <w:rFonts w:eastAsia="Times New Roman"/>
          <w:color w:val="auto"/>
          <w:sz w:val="22"/>
        </w:rPr>
        <w:t>º</w:t>
      </w:r>
      <w:r w:rsidRPr="00C73D5E">
        <w:rPr>
          <w:rFonts w:eastAsia="Times New Roman"/>
          <w:color w:val="auto"/>
        </w:rPr>
        <w:t xml:space="preserve">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003"/>
      <w:bookmarkEnd w:id="5"/>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6"/>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7"/>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8"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8"/>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367DBE">
        <w:rPr>
          <w:rFonts w:ascii="Arial" w:hAnsi="Arial" w:cs="Arial"/>
          <w:sz w:val="20"/>
          <w:szCs w:val="20"/>
        </w:rPr>
        <w:t>essoas jurídicas reunidas em consórcio;</w:t>
      </w:r>
    </w:p>
    <w:p w14:paraId="58D1E852" w14:textId="62395A3B"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153A762" w14:textId="6F7392B6" w:rsidR="004338DB" w:rsidRPr="00BF7230" w:rsidRDefault="004338DB" w:rsidP="004338DB">
      <w:pPr>
        <w:pStyle w:val="Nivel2"/>
        <w:numPr>
          <w:ilvl w:val="2"/>
          <w:numId w:val="1"/>
        </w:numPr>
        <w:autoSpaceDE w:val="0"/>
        <w:snapToGrid w:val="0"/>
        <w:spacing w:beforeLines="120" w:before="288" w:afterLines="120" w:after="288" w:line="312" w:lineRule="auto"/>
        <w:ind w:left="1701" w:hanging="708"/>
      </w:pPr>
      <w:r>
        <w:t>E</w:t>
      </w:r>
      <w:r w:rsidRPr="00BF7230">
        <w:t>mpresas estrangeiras que não funcionem no País</w:t>
      </w:r>
      <w:r>
        <w:t>.</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9" w:name="art14§2"/>
      <w:bookmarkStart w:id="10" w:name="art14§5"/>
      <w:bookmarkEnd w:id="9"/>
      <w:bookmarkEnd w:id="10"/>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11" w:name="_Toc122606105"/>
      <w:r w:rsidRPr="006E1990">
        <w:t>DA APRESENTAÇÃO DA PROPOSTA E DOS DOCUMENTOS DE HABILITAÇÃO</w:t>
      </w:r>
      <w:bookmarkEnd w:id="11"/>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2"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2"/>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3" w:name="_Ref113968921"/>
      <w:r w:rsidRPr="006E1990">
        <w:rPr>
          <w:rFonts w:eastAsia="Times New Roman"/>
          <w:color w:val="auto"/>
        </w:rPr>
        <w:t>No cadastramento da proposta inicial, o licitante declarará, em campo próprio do sistema, que:</w:t>
      </w:r>
      <w:bookmarkEnd w:id="13"/>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4"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4"/>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47429250" w14:textId="36CEABC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Pr="00993707">
        <w:rPr>
          <w:rFonts w:ascii="Arial" w:hAnsi="Arial" w:cs="Arial"/>
          <w:sz w:val="20"/>
          <w:szCs w:val="20"/>
        </w:rPr>
        <w:t>onstituída sob a forma de cooperativas, salvo as de consumo;</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5"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5"/>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lastRenderedPageBreak/>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6" w:name="_Toc122606106"/>
      <w:r w:rsidRPr="006E1990">
        <w:t>DO PREENCHIMENTO DA PROPOSTA</w:t>
      </w:r>
      <w:bookmarkEnd w:id="16"/>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06E123DC"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CF7840">
        <w:t>, observado os valores máximos estimados no Anexo II do Termo de Referência.</w:t>
      </w:r>
    </w:p>
    <w:p w14:paraId="1BF93643" w14:textId="23A7CDB9" w:rsidR="00DC7466" w:rsidRPr="00EA6903" w:rsidRDefault="00F63A6E" w:rsidP="00DF518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DF518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DF518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5C6DC643"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w:t>
      </w:r>
      <w:r w:rsidR="009E3D49">
        <w:t xml:space="preserve"> unitários e totais</w:t>
      </w:r>
      <w:r w:rsidRPr="006E1990">
        <w:t xml:space="preserve"> máximos </w:t>
      </w:r>
      <w:r w:rsidRPr="00F644EA">
        <w:t xml:space="preserve">estabelecidos </w:t>
      </w:r>
      <w:r w:rsidR="006667B7" w:rsidRPr="00F644EA">
        <w:t>no Anexo I</w:t>
      </w:r>
      <w:r w:rsidR="00C96BE1">
        <w:t>I</w:t>
      </w:r>
      <w:r w:rsidR="006667B7" w:rsidRPr="00F644EA">
        <w:t xml:space="preserve"> do Termo</w:t>
      </w:r>
      <w:r w:rsidR="006667B7">
        <w:t xml:space="preserve"> de Referência.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w:t>
      </w:r>
      <w:r w:rsidRPr="006E1990">
        <w:lastRenderedPageBreak/>
        <w:t xml:space="preserve">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7" w:name="_Toc122606107"/>
      <w:bookmarkStart w:id="18" w:name="_Hlk114646655"/>
      <w:r w:rsidRPr="006E1990">
        <w:t>DA ABERTURA DA SESSÃO, CLASSIFICAÇÃO DAS PROPOSTAS E FORMULAÇÃO DE LANCES</w:t>
      </w:r>
      <w:bookmarkEnd w:id="17"/>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0A6A084A"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w:t>
      </w:r>
      <w:r w:rsidR="009E3D49">
        <w:t>GLOBAL</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9" w:name="_Hlk113697759"/>
      <w:r>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20" w:name="_Hlk113697816"/>
      <w:bookmarkEnd w:id="19"/>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lastRenderedPageBreak/>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1" w:name="_Hlk113631522"/>
      <w:bookmarkEnd w:id="20"/>
    </w:p>
    <w:bookmarkEnd w:id="21"/>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5ABC0882" w14:textId="0735050C" w:rsidR="00E02479" w:rsidRPr="006E1990" w:rsidRDefault="009E3D49" w:rsidP="00E02479">
      <w:pPr>
        <w:pStyle w:val="Nivel2"/>
        <w:spacing w:beforeLines="120" w:before="288" w:afterLines="120" w:after="288" w:line="312" w:lineRule="auto"/>
        <w:ind w:left="993" w:hanging="567"/>
      </w:pPr>
      <w:r>
        <w:t>E</w:t>
      </w:r>
      <w:r w:rsidR="00E02479">
        <w:t>ncerrada a etapa de la</w:t>
      </w:r>
      <w:r w:rsidR="00E02479" w:rsidRPr="00E02479">
        <w:t>nces, será efetivada a verificação automática, junto à Receita Federal, do porte da entidade empresarial, caso a contratação não se enquadre nas vedações dos §§1º e 2º do art. 4º da Lei nº 14.133</w:t>
      </w:r>
      <w:r w:rsidR="00E02479">
        <w:t>/</w:t>
      </w:r>
      <w:r w:rsidR="00E02479" w:rsidRPr="00E02479">
        <w:t xml:space="preserve">2021. O sistema identificará em coluna própria as microempresas e empresas de pequeno porte </w:t>
      </w:r>
      <w:r w:rsidR="00E02479">
        <w:t>participantes</w:t>
      </w:r>
      <w:r w:rsidR="00E02479" w:rsidRPr="00E02479">
        <w:t xml:space="preserve">, procedendo à comparação com os valores da primeira colocada, se esta for empresa de maior porte, assim como das demais classificadas, para o fim de aplicar-se o disposto nos </w:t>
      </w:r>
      <w:proofErr w:type="spellStart"/>
      <w:r w:rsidR="00E02479" w:rsidRPr="00E02479">
        <w:t>arts</w:t>
      </w:r>
      <w:proofErr w:type="spellEnd"/>
      <w:r w:rsidR="00E02479" w:rsidRPr="00E02479">
        <w:t>. 44 e 45 da Lei Complementar nº 123</w:t>
      </w:r>
      <w:r w:rsidR="00E02479">
        <w:t>/</w:t>
      </w:r>
      <w:r w:rsidR="00E02479" w:rsidRPr="00E02479">
        <w:t>2006, regulamentada pelo Decreto nº 8.538</w:t>
      </w:r>
      <w:r w:rsidR="00E02479">
        <w:t>/</w:t>
      </w:r>
      <w:r w:rsidR="00E02479" w:rsidRPr="00E02479">
        <w:t>2015.</w:t>
      </w:r>
    </w:p>
    <w:p w14:paraId="51F7ECCB" w14:textId="6474E8D0"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 xml:space="preserve">Nessas condições, as propostas de </w:t>
      </w:r>
      <w:r w:rsidRPr="00E02479">
        <w:rPr>
          <w:rFonts w:eastAsia="Zurich BT"/>
        </w:rPr>
        <w:t xml:space="preserve">microempresas e empresas de pequeno porte </w:t>
      </w:r>
      <w:r w:rsidRPr="00E02479">
        <w:t>que se encontrarem na faixa de até 5% (cinco por cento), serão consideradas empatadas com a primeira colocada.</w:t>
      </w:r>
    </w:p>
    <w:p w14:paraId="2F440A5A" w14:textId="77777777" w:rsidR="00E02479" w:rsidRPr="00E10DF0" w:rsidRDefault="00E02479" w:rsidP="00E02479">
      <w:pPr>
        <w:pStyle w:val="Nivel2"/>
        <w:numPr>
          <w:ilvl w:val="2"/>
          <w:numId w:val="1"/>
        </w:numPr>
        <w:autoSpaceDE w:val="0"/>
        <w:snapToGrid w:val="0"/>
        <w:spacing w:beforeLines="120" w:before="288" w:afterLines="120" w:after="288" w:line="312" w:lineRule="auto"/>
        <w:ind w:left="1701" w:hanging="708"/>
      </w:pPr>
      <w:r w:rsidRPr="00E10DF0">
        <w:t>A</w:t>
      </w:r>
      <w:r>
        <w:t xml:space="preserve"> licitante</w:t>
      </w:r>
      <w:r w:rsidRPr="00E10DF0">
        <w:t xml:space="preserv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04DFA08" w14:textId="52615823" w:rsidR="00E02479" w:rsidRPr="005B7759" w:rsidRDefault="00E02479" w:rsidP="00E02479">
      <w:pPr>
        <w:pStyle w:val="Nivel2"/>
        <w:numPr>
          <w:ilvl w:val="2"/>
          <w:numId w:val="1"/>
        </w:numPr>
        <w:autoSpaceDE w:val="0"/>
        <w:snapToGrid w:val="0"/>
        <w:spacing w:beforeLines="120" w:before="288" w:afterLines="120" w:after="288" w:line="312" w:lineRule="auto"/>
        <w:ind w:left="1701" w:hanging="708"/>
      </w:pPr>
      <w:r w:rsidRPr="00E10DF0">
        <w:lastRenderedPageBreak/>
        <w:t xml:space="preserve">Caso a </w:t>
      </w:r>
      <w:r w:rsidRPr="00E02479">
        <w:t>microempresa ou a empresa de pequeno porte</w:t>
      </w:r>
      <w:r w:rsidRPr="00E10DF0">
        <w:t xml:space="preserve"> melhor classificada desista ou não se manifeste no prazo estabelecido, serão convocadas as demais licitantes </w:t>
      </w:r>
      <w:r w:rsidRPr="00E02479">
        <w:t>microempresa e empresa de pequeno porte</w:t>
      </w:r>
      <w:r w:rsidRPr="00E10DF0">
        <w:t xml:space="preserve"> que se encontrem</w:t>
      </w:r>
      <w:r>
        <w:t xml:space="preserve"> naquele</w:t>
      </w:r>
      <w:r w:rsidRPr="00E10DF0">
        <w:t xml:space="preserve"> </w:t>
      </w:r>
      <w:r w:rsidRPr="005B7759">
        <w:t xml:space="preserve">intervalo </w:t>
      </w:r>
      <w:r w:rsidRPr="00E02479">
        <w:t xml:space="preserve">de até 5% (cinco por cento), </w:t>
      </w:r>
      <w:r w:rsidRPr="005B7759">
        <w:t>na ordem de classificação, para o exercício do mesmo direito, no prazo estabelecido no subitem anterior.</w:t>
      </w:r>
    </w:p>
    <w:p w14:paraId="2A7DEEDB" w14:textId="77777777" w:rsidR="00E02479" w:rsidRDefault="00E02479" w:rsidP="00E02479">
      <w:pPr>
        <w:pStyle w:val="Nivel2"/>
        <w:numPr>
          <w:ilvl w:val="2"/>
          <w:numId w:val="1"/>
        </w:numPr>
        <w:autoSpaceDE w:val="0"/>
        <w:snapToGrid w:val="0"/>
        <w:spacing w:beforeLines="120" w:before="288" w:afterLines="120" w:after="288" w:line="312" w:lineRule="auto"/>
        <w:ind w:left="1701" w:hanging="708"/>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C411B41"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2" w:name="art60§1i"/>
      <w:bookmarkEnd w:id="22"/>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3" w:name="art60§1ii"/>
      <w:bookmarkEnd w:id="23"/>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4" w:name="art60§1iii"/>
      <w:bookmarkEnd w:id="24"/>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5" w:name="art60§1iv"/>
      <w:bookmarkEnd w:id="25"/>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lastRenderedPageBreak/>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5AFAF967"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no prazo de 2 (duas) 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6" w:name="_Hlk117016948"/>
      <w:r w:rsidR="00056CAA">
        <w:rPr>
          <w:rFonts w:eastAsia="Times New Roman"/>
        </w:rPr>
        <w:t xml:space="preserve"> e já apresentados;</w:t>
      </w:r>
    </w:p>
    <w:bookmarkEnd w:id="26"/>
    <w:p w14:paraId="1774891E" w14:textId="3CB4D3F6" w:rsidR="00963ABF" w:rsidRPr="009B6445" w:rsidRDefault="00963ABF" w:rsidP="00963ABF">
      <w:pPr>
        <w:pStyle w:val="Nivel4"/>
        <w:spacing w:beforeLines="120" w:before="288" w:afterLines="120" w:after="288" w:line="312" w:lineRule="auto"/>
        <w:ind w:left="2835" w:hanging="1134"/>
      </w:pPr>
      <w:r w:rsidRPr="006E1990">
        <w:t>A não observância do disposto no item anterior ensejar</w:t>
      </w:r>
      <w:r>
        <w:t>á a desclassificação da proposta da empresa licitante.</w:t>
      </w:r>
    </w:p>
    <w:p w14:paraId="4F1A98C2" w14:textId="162D94A2" w:rsidR="003C7A23" w:rsidRPr="006E1990" w:rsidRDefault="003C7A23" w:rsidP="00D70B47">
      <w:pPr>
        <w:pStyle w:val="Nivel4"/>
        <w:spacing w:beforeLines="120" w:before="288" w:afterLines="120" w:after="288" w:line="312" w:lineRule="auto"/>
        <w:ind w:left="2835" w:hanging="1134"/>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8"/>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7" w:name="_Toc122606108"/>
      <w:bookmarkStart w:id="28" w:name="_Hlk82473550"/>
      <w:r w:rsidRPr="006E1990">
        <w:t>DA FASE DE JULGAMENTO</w:t>
      </w:r>
      <w:bookmarkEnd w:id="27"/>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9"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9"/>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54107D">
      <w:pPr>
        <w:pStyle w:val="Nivel4"/>
        <w:spacing w:beforeLines="120" w:before="288" w:afterLines="120" w:after="288" w:line="312" w:lineRule="auto"/>
        <w:ind w:left="2835" w:hanging="1134"/>
      </w:pPr>
      <w:r w:rsidRPr="00E3297A">
        <w:lastRenderedPageBreak/>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1A234B5F"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B11CAB">
        <w:t xml:space="preserve">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lastRenderedPageBreak/>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30" w:name="_Toc122606109"/>
      <w:r w:rsidRPr="006E1990">
        <w:t>DA FASE DE HABILITAÇÃO</w:t>
      </w:r>
      <w:bookmarkEnd w:id="30"/>
    </w:p>
    <w:p w14:paraId="7BECD6E3" w14:textId="6B65E42C" w:rsidR="006206CB" w:rsidRPr="006E1990" w:rsidRDefault="00095215" w:rsidP="006206CB">
      <w:pPr>
        <w:pStyle w:val="Nivel2"/>
        <w:spacing w:beforeLines="120" w:before="288" w:afterLines="120" w:after="288" w:line="312" w:lineRule="auto"/>
        <w:ind w:left="993" w:hanging="567"/>
      </w:pPr>
      <w:r w:rsidRPr="00471A87">
        <w:rPr>
          <w:b/>
        </w:rPr>
        <w:t>OS DOCUMENTOS PREVISTOS NO ITEM 4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1"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1"/>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 xml:space="preserve">Somente haverá a necessidade de comprovação do preenchimento de requisitos mediante apresentação dos documentos originais não-digitais quando houver dúvida em relação à </w:t>
      </w:r>
      <w:r w:rsidRPr="006E1990">
        <w:lastRenderedPageBreak/>
        <w:t>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50EA57EA"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2"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851DB7" w:rsidRPr="00B00ED7">
        <w:rPr>
          <w:b/>
        </w:rPr>
        <w:t>2 (duas) horas</w:t>
      </w:r>
      <w:r w:rsidRPr="006E1990">
        <w:t xml:space="preserve">, prorrogável por igual período, contado da solicitação do </w:t>
      </w:r>
      <w:r w:rsidR="00797DE6">
        <w:t>Pregoeiro</w:t>
      </w:r>
      <w:r w:rsidRPr="006E1990">
        <w:t>.</w:t>
      </w:r>
      <w:bookmarkEnd w:id="32"/>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26" w:anchor="art64" w:history="1">
        <w:r w:rsidRPr="00851DB7">
          <w:t>Lei 14.133/21, art. 64</w:t>
        </w:r>
      </w:hyperlink>
      <w:r w:rsidRPr="006E1990">
        <w:t xml:space="preserve">, e </w:t>
      </w:r>
      <w:hyperlink r:id="rId27"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3"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3"/>
    </w:p>
    <w:p w14:paraId="4506CAE4" w14:textId="63BA0702" w:rsidR="003C7A23" w:rsidRPr="00883DEB" w:rsidRDefault="003C7A23" w:rsidP="00883DEB">
      <w:pPr>
        <w:pStyle w:val="Nivel2"/>
        <w:spacing w:beforeLines="120" w:before="288" w:afterLines="120" w:after="288" w:line="312" w:lineRule="auto"/>
        <w:ind w:left="993" w:hanging="567"/>
      </w:pPr>
      <w:bookmarkStart w:id="34"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4"/>
    </w:p>
    <w:p w14:paraId="30A25CB4" w14:textId="5130DF20" w:rsidR="003C7A23" w:rsidRPr="00883DEB" w:rsidRDefault="003C7A23" w:rsidP="00883DEB">
      <w:pPr>
        <w:pStyle w:val="Nivel2"/>
        <w:spacing w:beforeLines="120" w:before="288" w:afterLines="120" w:after="288" w:line="312" w:lineRule="auto"/>
        <w:ind w:left="993" w:hanging="567"/>
      </w:pPr>
      <w:bookmarkStart w:id="35" w:name="_Ref114665515"/>
      <w:r w:rsidRPr="006E1990">
        <w:lastRenderedPageBreak/>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5"/>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8"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6" w:name="_Toc122606110"/>
      <w:r w:rsidRPr="006E1990">
        <w:t>DOS RECURSOS</w:t>
      </w:r>
      <w:bookmarkEnd w:id="36"/>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9"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7" w:name="_Hlk135318381"/>
      <w:bookmarkStart w:id="38" w:name="_Hlk135315794"/>
      <w:r>
        <w:t>O</w:t>
      </w:r>
      <w:r w:rsidR="008B7403" w:rsidRPr="008B7403">
        <w:t xml:space="preserve"> prazo para a manifestação da intenção de recorrer não será inferior a 10 (dez) minutos</w:t>
      </w:r>
      <w:bookmarkEnd w:id="37"/>
      <w:r w:rsidR="008B7403">
        <w:t>;</w:t>
      </w:r>
    </w:p>
    <w:bookmarkEnd w:id="38"/>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9" w:name="_Toc122606111"/>
      <w:r w:rsidRPr="006E1990">
        <w:lastRenderedPageBreak/>
        <w:t>DAS INFRAÇÕES ADMINISTRATIVAS E SANÇÕES</w:t>
      </w:r>
      <w:bookmarkEnd w:id="39"/>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0" w:name="_Ref114668085"/>
      <w:bookmarkStart w:id="41"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40"/>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2" w:name="_Ref114668108"/>
      <w:r w:rsidRPr="006E1990">
        <w:t>Salvo em decorrência de fato superveniente devidamente justificado, não mantiver a proposta em especial quando:</w:t>
      </w:r>
      <w:bookmarkEnd w:id="42"/>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139"/>
      <w:r>
        <w:t>N</w:t>
      </w:r>
      <w:r w:rsidR="003C7A23" w:rsidRPr="006E1990">
        <w:t>ão celebrar o contrato ou não entregar a documentação exigida para a contratação, quando convocado dentro do prazo de validade de sua proposta;</w:t>
      </w:r>
      <w:bookmarkEnd w:id="43"/>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9"/>
      <w:r>
        <w:t>A</w:t>
      </w:r>
      <w:r w:rsidR="003C7A23" w:rsidRPr="006E1990">
        <w:t>presentar declaração ou documentação falsa exigida para o certame ou prestar declaração falsa durante a licitação</w:t>
      </w:r>
      <w:bookmarkEnd w:id="44"/>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5"/>
      <w:r>
        <w:t>F</w:t>
      </w:r>
      <w:r w:rsidR="003C7A23" w:rsidRPr="006E1990">
        <w:t>raudar a licitação</w:t>
      </w:r>
      <w:bookmarkEnd w:id="45"/>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6" w:name="_Ref114668247"/>
      <w:r>
        <w:t>C</w:t>
      </w:r>
      <w:r w:rsidR="003C7A23" w:rsidRPr="006E1990">
        <w:t>omportar-se de modo inidôneo ou cometer fraude de qualquer natureza, em especial quando:</w:t>
      </w:r>
      <w:bookmarkEnd w:id="46"/>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1"/>
      <w:r>
        <w:t>P</w:t>
      </w:r>
      <w:r w:rsidR="003C7A23" w:rsidRPr="006E1990">
        <w:t>raticar atos ilícitos com vistas a frustrar os objetivos da licitação</w:t>
      </w:r>
      <w:bookmarkEnd w:id="47"/>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8" w:name="_Ref114668252"/>
      <w:r>
        <w:t>P</w:t>
      </w:r>
      <w:r w:rsidR="003C7A23" w:rsidRPr="006E1990">
        <w:t xml:space="preserve">raticar ato lesivo previsto no </w:t>
      </w:r>
      <w:hyperlink r:id="rId30" w:anchor="art5" w:history="1">
        <w:r w:rsidR="009C5FE4">
          <w:t>art. 5º da Lei n.º 12.846/</w:t>
        </w:r>
        <w:r w:rsidR="003C7A23" w:rsidRPr="009C5FE4">
          <w:t>2013</w:t>
        </w:r>
      </w:hyperlink>
      <w:r w:rsidR="003C7A23" w:rsidRPr="006E1990">
        <w:t>.</w:t>
      </w:r>
      <w:bookmarkEnd w:id="48"/>
    </w:p>
    <w:bookmarkEnd w:id="41"/>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1"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2"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w:t>
      </w:r>
      <w:r w:rsidRPr="006E1990">
        <w:lastRenderedPageBreak/>
        <w:t xml:space="preserve">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481CA289" w:rsidR="003C7A23"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77777777" w:rsidR="00C4135A" w:rsidRPr="00C4135A" w:rsidRDefault="00C4135A" w:rsidP="00C4135A">
      <w:pPr>
        <w:pStyle w:val="Nivel2"/>
        <w:spacing w:beforeLines="120" w:before="288" w:afterLines="120" w:after="288" w:line="312" w:lineRule="auto"/>
        <w:ind w:left="993" w:hanging="567"/>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C4135A">
      <w:pPr>
        <w:pStyle w:val="Nivel2"/>
        <w:numPr>
          <w:ilvl w:val="2"/>
          <w:numId w:val="1"/>
        </w:numPr>
        <w:autoSpaceDE w:val="0"/>
        <w:snapToGrid w:val="0"/>
        <w:spacing w:beforeLines="120" w:before="288" w:afterLines="120" w:after="288" w:line="312" w:lineRule="auto"/>
        <w:ind w:left="1701" w:hanging="708"/>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9" w:name="_Toc122606112"/>
      <w:r w:rsidRPr="006E1990">
        <w:t xml:space="preserve">DA IMPUGNAÇÃO AO </w:t>
      </w:r>
      <w:r w:rsidR="00797DE6">
        <w:t>EDITAL</w:t>
      </w:r>
      <w:r w:rsidRPr="006E1990">
        <w:t xml:space="preserve"> E DO PEDIDO DE ESCLARECIMENTO</w:t>
      </w:r>
      <w:bookmarkEnd w:id="49"/>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3"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lastRenderedPageBreak/>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50" w:name="_Toc122606113"/>
      <w:r w:rsidRPr="006E1990">
        <w:t>DAS DISPOSIÇÕES GERAIS</w:t>
      </w:r>
      <w:bookmarkEnd w:id="50"/>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lastRenderedPageBreak/>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9C87762" w14:textId="77777777" w:rsidR="00EB4B4C" w:rsidRPr="005A1599" w:rsidRDefault="00EB4B4C" w:rsidP="00EB4B4C">
      <w:pPr>
        <w:pStyle w:val="Nivel2"/>
        <w:spacing w:beforeLines="120" w:before="288" w:afterLines="120" w:after="288" w:line="312" w:lineRule="auto"/>
        <w:ind w:left="1134" w:hanging="708"/>
        <w:rPr>
          <w:rStyle w:val="nfase"/>
          <w:rFonts w:eastAsia="Times New Roman"/>
          <w:i w:val="0"/>
          <w:iCs w:val="0"/>
        </w:rPr>
      </w:pPr>
      <w:r w:rsidRPr="005A1599">
        <w:rPr>
          <w:rStyle w:val="nfase"/>
          <w:i w:val="0"/>
        </w:rPr>
        <w:t xml:space="preserve">As sessões públicas dos Pregões Eletrônicos do TRT da 24ª Região poderão ser acompanhadas no endereço </w:t>
      </w:r>
      <w:hyperlink r:id="rId34" w:history="1">
        <w:r w:rsidRPr="00051F53">
          <w:rPr>
            <w:rStyle w:val="Hyperlink"/>
          </w:rPr>
          <w:t>www.compras.gov/compras</w:t>
        </w:r>
      </w:hyperlink>
      <w:r w:rsidRPr="005A1599">
        <w:rPr>
          <w:rStyle w:val="nfase"/>
          <w:i w:val="0"/>
        </w:rPr>
        <w:t xml:space="preserve">, selecionado as opções Consultas / pregões / em andamento / Cód. </w:t>
      </w:r>
      <w:proofErr w:type="spellStart"/>
      <w:r w:rsidRPr="005A1599">
        <w:rPr>
          <w:rStyle w:val="nfase"/>
          <w:i w:val="0"/>
        </w:rPr>
        <w:t>Uasg</w:t>
      </w:r>
      <w:proofErr w:type="spellEnd"/>
      <w:r w:rsidRPr="005A1599">
        <w:rPr>
          <w:rStyle w:val="nfase"/>
          <w:i w:val="0"/>
        </w:rPr>
        <w:t xml:space="preserve"> 080026.</w:t>
      </w:r>
    </w:p>
    <w:p w14:paraId="5A98CD6E" w14:textId="77777777" w:rsidR="00EB4B4C" w:rsidRPr="00E55BA2" w:rsidRDefault="00EB4B4C" w:rsidP="00EB4B4C">
      <w:pPr>
        <w:pStyle w:val="Nivel2"/>
        <w:spacing w:beforeLines="120" w:before="288" w:afterLines="120" w:after="288" w:line="312" w:lineRule="auto"/>
        <w:ind w:left="1134" w:hanging="708"/>
      </w:pPr>
      <w:r w:rsidRPr="00E55BA2">
        <w:t xml:space="preserve">Os originais ou cópias autenticadas, caso sejam solicitados, deverão ser encaminhados à Seção de Licitações do TRT da 24ª Região, situado na Rua </w:t>
      </w:r>
      <w:r w:rsidRPr="00E55BA2">
        <w:rPr>
          <w:spacing w:val="4"/>
        </w:rPr>
        <w:t xml:space="preserve">Delegado Carlos Roberto Bastos de Oliveira nº 208, 3º andar, Jardim Veraneio (Parque dos Poderes), em </w:t>
      </w:r>
      <w:r w:rsidRPr="00E55BA2">
        <w:t>Campo Grande – MS, CEP 79.031-908.</w:t>
      </w:r>
    </w:p>
    <w:p w14:paraId="330DE534" w14:textId="77777777" w:rsidR="00EB4B4C" w:rsidRPr="00E55BA2" w:rsidRDefault="00EB4B4C" w:rsidP="00EB4B4C">
      <w:pPr>
        <w:pStyle w:val="Nivel2"/>
        <w:spacing w:beforeLines="120" w:before="288" w:afterLines="120" w:after="288" w:line="312" w:lineRule="auto"/>
        <w:ind w:left="1134" w:hanging="708"/>
      </w:pPr>
      <w:r w:rsidRPr="00E55BA2">
        <w:t>O Tribunal Regional do Trabalho da 24ª Região é cadastrado no CNPJ sob o nº 37.115.409/0001-63 e na Unidade Administrativa de Serviços Gerais (UASG) sob o nº 080026.</w:t>
      </w:r>
    </w:p>
    <w:p w14:paraId="371ED97A" w14:textId="77777777" w:rsidR="00EB4B4C" w:rsidRPr="00E55BA2" w:rsidRDefault="00EB4B4C" w:rsidP="00EB4B4C">
      <w:pPr>
        <w:pStyle w:val="Nivel2"/>
        <w:spacing w:beforeLines="120" w:before="288" w:afterLines="120" w:after="288" w:line="312" w:lineRule="auto"/>
        <w:ind w:left="1134" w:hanging="708"/>
      </w:pPr>
      <w:r w:rsidRPr="00E55BA2">
        <w:t xml:space="preserve">Informações adicionais poderão ser obtidas na Seção de Licitações do TRT da 24ª Região, pelo telefone (0xx67) 3316-1700 / e-mail: </w:t>
      </w:r>
      <w:hyperlink r:id="rId35" w:history="1">
        <w:r w:rsidRPr="00E2113B">
          <w:rPr>
            <w:rStyle w:val="Hyperlink"/>
          </w:rPr>
          <w:t>licitacao@trt24.jus.br</w:t>
        </w:r>
      </w:hyperlink>
      <w:r>
        <w:t xml:space="preserve">. </w:t>
      </w:r>
    </w:p>
    <w:p w14:paraId="45370ABE" w14:textId="77777777" w:rsidR="00480D42"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w:t>
      </w:r>
      <w:r w:rsidR="00480D42">
        <w:t>s seguintes documentos:</w:t>
      </w:r>
    </w:p>
    <w:p w14:paraId="76A399B7" w14:textId="3960BA02" w:rsidR="00480D42" w:rsidRDefault="00571635" w:rsidP="00480D42">
      <w:pPr>
        <w:pStyle w:val="Nivel2"/>
        <w:numPr>
          <w:ilvl w:val="2"/>
          <w:numId w:val="1"/>
        </w:numPr>
        <w:autoSpaceDE w:val="0"/>
        <w:snapToGrid w:val="0"/>
        <w:spacing w:beforeLines="120" w:before="288" w:afterLines="120" w:after="288" w:line="312" w:lineRule="auto"/>
        <w:ind w:left="1701" w:hanging="567"/>
      </w:pPr>
      <w:r>
        <w:t>Termo de Referência</w:t>
      </w:r>
      <w:r w:rsidR="00480D42">
        <w:t xml:space="preserve"> e Anexos;</w:t>
      </w:r>
    </w:p>
    <w:p w14:paraId="3F5E57F7" w14:textId="2A2DED87" w:rsidR="00516103" w:rsidRDefault="00480D42" w:rsidP="00480D42">
      <w:pPr>
        <w:pStyle w:val="Nivel2"/>
        <w:numPr>
          <w:ilvl w:val="2"/>
          <w:numId w:val="1"/>
        </w:numPr>
        <w:autoSpaceDE w:val="0"/>
        <w:snapToGrid w:val="0"/>
        <w:spacing w:beforeLines="120" w:before="288" w:afterLines="120" w:after="288" w:line="312" w:lineRule="auto"/>
        <w:ind w:left="1701" w:hanging="567"/>
      </w:pPr>
      <w:r>
        <w:t>Minuta de Contrato</w:t>
      </w:r>
      <w:r w:rsidR="00B411F2">
        <w:t xml:space="preserve">. </w:t>
      </w:r>
    </w:p>
    <w:p w14:paraId="27BF3C44" w14:textId="70BE2D13" w:rsidR="003635CF" w:rsidRDefault="003635CF" w:rsidP="00157B8A">
      <w:pPr>
        <w:pStyle w:val="Nivel2"/>
        <w:numPr>
          <w:ilvl w:val="0"/>
          <w:numId w:val="0"/>
        </w:numPr>
        <w:spacing w:beforeLines="120" w:before="288" w:afterLines="120" w:after="288" w:line="312" w:lineRule="auto"/>
        <w:ind w:left="360"/>
        <w:jc w:val="center"/>
      </w:pPr>
      <w:r w:rsidRPr="00516103">
        <w:t xml:space="preserve">Campo Grande – MS, </w:t>
      </w:r>
      <w:r w:rsidR="005F1908">
        <w:t xml:space="preserve">11 de abril </w:t>
      </w:r>
      <w:r w:rsidRPr="00516103">
        <w:t>de 202</w:t>
      </w:r>
      <w:r w:rsidR="00F43DCD">
        <w:t>5</w:t>
      </w:r>
      <w:r w:rsidRPr="00516103">
        <w:t>.</w:t>
      </w: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77777777" w:rsidR="003635CF" w:rsidRPr="003635CF" w:rsidRDefault="003635CF" w:rsidP="003635CF">
      <w:pPr>
        <w:pStyle w:val="Nivel01"/>
        <w:numPr>
          <w:ilvl w:val="0"/>
          <w:numId w:val="0"/>
        </w:numPr>
        <w:ind w:left="360"/>
        <w:jc w:val="center"/>
        <w:rPr>
          <w:rStyle w:val="nfase"/>
        </w:rPr>
      </w:pPr>
      <w:r w:rsidRPr="00157B8A">
        <w:rPr>
          <w:rStyle w:val="nfase"/>
        </w:rPr>
        <w:t>CHEFE DA SEÇÃO DE LICITAÇÕES</w:t>
      </w:r>
      <w:bookmarkEnd w:id="28"/>
    </w:p>
    <w:sectPr w:rsidR="003635CF" w:rsidRPr="003635CF" w:rsidSect="00516103">
      <w:headerReference w:type="default" r:id="rId36"/>
      <w:footerReference w:type="default" r:id="rId37"/>
      <w:headerReference w:type="first" r:id="rId38"/>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2EBEE" w14:textId="77777777" w:rsidR="008C0A97" w:rsidRDefault="008C0A97">
      <w:r>
        <w:separator/>
      </w:r>
    </w:p>
  </w:endnote>
  <w:endnote w:type="continuationSeparator" w:id="0">
    <w:p w14:paraId="06E3FC34" w14:textId="77777777" w:rsidR="008C0A97" w:rsidRDefault="008C0A97">
      <w:r>
        <w:continuationSeparator/>
      </w:r>
    </w:p>
  </w:endnote>
  <w:endnote w:type="continuationNotice" w:id="1">
    <w:p w14:paraId="38F1B978" w14:textId="77777777" w:rsidR="008C0A97" w:rsidRDefault="008C0A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Times New Roman"/>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45BA270F"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6400EF">
          <w:rPr>
            <w:noProof/>
            <w:sz w:val="18"/>
            <w:szCs w:val="18"/>
          </w:rPr>
          <w:t>4</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6400EF">
          <w:rPr>
            <w:noProof/>
            <w:sz w:val="18"/>
            <w:szCs w:val="18"/>
          </w:rPr>
          <w:t>20</w:t>
        </w:r>
        <w:r w:rsidRPr="00E12671">
          <w:rPr>
            <w:sz w:val="18"/>
            <w:szCs w:val="18"/>
          </w:rPr>
          <w:fldChar w:fldCharType="end"/>
        </w:r>
      </w:p>
      <w:p w14:paraId="239342FA" w14:textId="1DAA0501" w:rsidR="00FC0D1F" w:rsidRPr="00244403" w:rsidRDefault="008C0A97"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F9702" w14:textId="77777777" w:rsidR="008C0A97" w:rsidRDefault="008C0A97">
      <w:r>
        <w:separator/>
      </w:r>
    </w:p>
  </w:footnote>
  <w:footnote w:type="continuationSeparator" w:id="0">
    <w:p w14:paraId="6B4BCE85" w14:textId="77777777" w:rsidR="008C0A97" w:rsidRDefault="008C0A97">
      <w:r>
        <w:continuationSeparator/>
      </w:r>
    </w:p>
  </w:footnote>
  <w:footnote w:type="continuationNotice" w:id="1">
    <w:p w14:paraId="40061FA6" w14:textId="77777777" w:rsidR="008C0A97" w:rsidRDefault="008C0A9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30E55DC7" w:rsidR="00FC0D1F" w:rsidRDefault="009365A9" w:rsidP="00571200">
    <w:pPr>
      <w:rPr>
        <w:rFonts w:ascii="Courier New" w:hAnsi="Courier New" w:cs="Courier New"/>
        <w:sz w:val="20"/>
        <w:szCs w:val="20"/>
      </w:rPr>
    </w:pPr>
    <w:r w:rsidRPr="009365A9">
      <w:rPr>
        <w:rFonts w:ascii="Courier New" w:hAnsi="Courier New" w:cs="Courier New"/>
        <w:sz w:val="20"/>
        <w:szCs w:val="20"/>
      </w:rPr>
      <w:t xml:space="preserve">Pregão Eletrônico nº </w:t>
    </w:r>
    <w:r w:rsidR="00E81B53">
      <w:rPr>
        <w:rFonts w:ascii="Courier New" w:hAnsi="Courier New" w:cs="Courier New"/>
        <w:sz w:val="20"/>
        <w:szCs w:val="20"/>
      </w:rPr>
      <w:t>90005/2025</w:t>
    </w:r>
  </w:p>
  <w:p w14:paraId="27C57B7C" w14:textId="77777777" w:rsidR="00055B06" w:rsidRDefault="00055B06"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9365A9" w:rsidRDefault="00FC0D1F"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9365A9" w:rsidRPr="00571200" w:rsidRDefault="009365A9" w:rsidP="00571200">
          <w:pPr>
            <w:rPr>
              <w:rFonts w:ascii="Courier New" w:hAnsi="Courier New" w:cs="Courier New"/>
              <w:b/>
              <w:sz w:val="20"/>
              <w:szCs w:val="20"/>
            </w:rPr>
          </w:pPr>
        </w:p>
      </w:tc>
    </w:tr>
  </w:tbl>
  <w:p w14:paraId="1BDCA8CB" w14:textId="21F82025" w:rsidR="00FC0D1F" w:rsidRPr="009365A9" w:rsidRDefault="009365A9" w:rsidP="00F15E74">
    <w:pPr>
      <w:rPr>
        <w:rFonts w:ascii="Courier New" w:hAnsi="Courier New" w:cs="Courier New"/>
        <w:sz w:val="20"/>
        <w:szCs w:val="20"/>
      </w:rPr>
    </w:pPr>
    <w:r w:rsidRPr="009365A9">
      <w:rPr>
        <w:rFonts w:ascii="Courier New" w:hAnsi="Courier New" w:cs="Courier New"/>
        <w:sz w:val="20"/>
        <w:szCs w:val="20"/>
      </w:rPr>
      <w:t xml:space="preserve">Pregão Eletrônico nº </w:t>
    </w:r>
    <w:r w:rsidR="008E7E94">
      <w:rPr>
        <w:rFonts w:ascii="Courier New" w:hAnsi="Courier New" w:cs="Courier New"/>
        <w:sz w:val="20"/>
        <w:szCs w:val="20"/>
      </w:rPr>
      <w:t>9000</w:t>
    </w:r>
    <w:r w:rsidR="00E81B53">
      <w:rPr>
        <w:rFonts w:ascii="Courier New" w:hAnsi="Courier New" w:cs="Courier New"/>
        <w:sz w:val="20"/>
        <w:szCs w:val="20"/>
      </w:rPr>
      <w:t>5</w:t>
    </w:r>
    <w:r w:rsidR="008E7E94">
      <w:rPr>
        <w:rFonts w:ascii="Courier New" w:hAnsi="Courier New" w:cs="Courier New"/>
        <w:sz w:val="20"/>
        <w:szCs w:val="20"/>
      </w:rPr>
      <w:t>/2025</w:t>
    </w:r>
  </w:p>
  <w:p w14:paraId="563080E3" w14:textId="77777777" w:rsidR="009365A9" w:rsidRDefault="009365A9"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0"/>
  </w:num>
  <w:num w:numId="4">
    <w:abstractNumId w:val="11"/>
  </w:num>
  <w:num w:numId="5">
    <w:abstractNumId w:val="7"/>
  </w:num>
  <w:num w:numId="6">
    <w:abstractNumId w:val="3"/>
  </w:num>
  <w:num w:numId="7">
    <w:abstractNumId w:val="8"/>
  </w:num>
  <w:num w:numId="8">
    <w:abstractNumId w:val="9"/>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6B5"/>
    <w:rsid w:val="000277DE"/>
    <w:rsid w:val="00027855"/>
    <w:rsid w:val="00027862"/>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4B7"/>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A47"/>
    <w:rsid w:val="0014670B"/>
    <w:rsid w:val="001468D3"/>
    <w:rsid w:val="00146919"/>
    <w:rsid w:val="00146B7E"/>
    <w:rsid w:val="00146BDF"/>
    <w:rsid w:val="00147222"/>
    <w:rsid w:val="0014755F"/>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A3A"/>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17288"/>
    <w:rsid w:val="0022006A"/>
    <w:rsid w:val="00220307"/>
    <w:rsid w:val="00220365"/>
    <w:rsid w:val="00220815"/>
    <w:rsid w:val="00220CD0"/>
    <w:rsid w:val="00220D79"/>
    <w:rsid w:val="00220FFE"/>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6E45"/>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506"/>
    <w:rsid w:val="002735FF"/>
    <w:rsid w:val="00273748"/>
    <w:rsid w:val="00273809"/>
    <w:rsid w:val="0027381F"/>
    <w:rsid w:val="002744AA"/>
    <w:rsid w:val="00274FAF"/>
    <w:rsid w:val="00275240"/>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5C"/>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D3"/>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149"/>
    <w:rsid w:val="002C53B8"/>
    <w:rsid w:val="002C54C1"/>
    <w:rsid w:val="002C5E97"/>
    <w:rsid w:val="002C6278"/>
    <w:rsid w:val="002C661C"/>
    <w:rsid w:val="002C6793"/>
    <w:rsid w:val="002C6ABC"/>
    <w:rsid w:val="002C72B3"/>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2007"/>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3634"/>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2D2B"/>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8DB"/>
    <w:rsid w:val="0043396E"/>
    <w:rsid w:val="00433A09"/>
    <w:rsid w:val="00434A26"/>
    <w:rsid w:val="004350B5"/>
    <w:rsid w:val="00435203"/>
    <w:rsid w:val="0043521E"/>
    <w:rsid w:val="00435447"/>
    <w:rsid w:val="00435546"/>
    <w:rsid w:val="00435EA4"/>
    <w:rsid w:val="00435EDE"/>
    <w:rsid w:val="004370AA"/>
    <w:rsid w:val="00440D8A"/>
    <w:rsid w:val="0044182E"/>
    <w:rsid w:val="00441A6B"/>
    <w:rsid w:val="00441EA1"/>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0D42"/>
    <w:rsid w:val="0048110E"/>
    <w:rsid w:val="00482163"/>
    <w:rsid w:val="00482A68"/>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2F16"/>
    <w:rsid w:val="004C30A7"/>
    <w:rsid w:val="004C41A0"/>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1325"/>
    <w:rsid w:val="004E13D4"/>
    <w:rsid w:val="004E1785"/>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59"/>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07D"/>
    <w:rsid w:val="00541DB9"/>
    <w:rsid w:val="00542A36"/>
    <w:rsid w:val="005434D7"/>
    <w:rsid w:val="0054384E"/>
    <w:rsid w:val="00544C09"/>
    <w:rsid w:val="00545B8E"/>
    <w:rsid w:val="0054646D"/>
    <w:rsid w:val="00547069"/>
    <w:rsid w:val="0055057F"/>
    <w:rsid w:val="00550782"/>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908"/>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0EF"/>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F42"/>
    <w:rsid w:val="006A5FEA"/>
    <w:rsid w:val="006A6103"/>
    <w:rsid w:val="006A65AD"/>
    <w:rsid w:val="006A6690"/>
    <w:rsid w:val="006A6813"/>
    <w:rsid w:val="006A68C5"/>
    <w:rsid w:val="006A6B84"/>
    <w:rsid w:val="006A71EB"/>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031"/>
    <w:rsid w:val="007449AE"/>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D7B"/>
    <w:rsid w:val="00790D93"/>
    <w:rsid w:val="007919A1"/>
    <w:rsid w:val="00791CD7"/>
    <w:rsid w:val="00791F2C"/>
    <w:rsid w:val="007923B8"/>
    <w:rsid w:val="00792D22"/>
    <w:rsid w:val="007938EF"/>
    <w:rsid w:val="00793A29"/>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1F1B"/>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198A"/>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9E4"/>
    <w:rsid w:val="00825ABA"/>
    <w:rsid w:val="008275D0"/>
    <w:rsid w:val="008278E9"/>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C98"/>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0A97"/>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49C"/>
    <w:rsid w:val="008D3ACE"/>
    <w:rsid w:val="008D3C0D"/>
    <w:rsid w:val="008D3C88"/>
    <w:rsid w:val="008D3DE1"/>
    <w:rsid w:val="008D4E7E"/>
    <w:rsid w:val="008D51CC"/>
    <w:rsid w:val="008D5A1A"/>
    <w:rsid w:val="008D648F"/>
    <w:rsid w:val="008D6B57"/>
    <w:rsid w:val="008D6C14"/>
    <w:rsid w:val="008D73D5"/>
    <w:rsid w:val="008D76C3"/>
    <w:rsid w:val="008D7A55"/>
    <w:rsid w:val="008D7FEE"/>
    <w:rsid w:val="008E0A94"/>
    <w:rsid w:val="008E0BE2"/>
    <w:rsid w:val="008E0CD1"/>
    <w:rsid w:val="008E10AE"/>
    <w:rsid w:val="008E1CB2"/>
    <w:rsid w:val="008E2661"/>
    <w:rsid w:val="008E2C1D"/>
    <w:rsid w:val="008E31A9"/>
    <w:rsid w:val="008E4F95"/>
    <w:rsid w:val="008E530B"/>
    <w:rsid w:val="008E5366"/>
    <w:rsid w:val="008E5533"/>
    <w:rsid w:val="008E737B"/>
    <w:rsid w:val="008E775F"/>
    <w:rsid w:val="008E7E94"/>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B2E"/>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5F5B"/>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819"/>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5013"/>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D49"/>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29BE"/>
    <w:rsid w:val="00A440FE"/>
    <w:rsid w:val="00A44136"/>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72E"/>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22F1"/>
    <w:rsid w:val="00C326B8"/>
    <w:rsid w:val="00C32993"/>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6BE1"/>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3DF4"/>
    <w:rsid w:val="00CB4329"/>
    <w:rsid w:val="00CB4B1F"/>
    <w:rsid w:val="00CB4E57"/>
    <w:rsid w:val="00CB5231"/>
    <w:rsid w:val="00CB56C9"/>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840"/>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0B47"/>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5006"/>
    <w:rsid w:val="00DB5421"/>
    <w:rsid w:val="00DB5704"/>
    <w:rsid w:val="00DB5F2D"/>
    <w:rsid w:val="00DB6355"/>
    <w:rsid w:val="00DB64F4"/>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18F"/>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6C5"/>
    <w:rsid w:val="00E66B76"/>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1B53"/>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4C94"/>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17"/>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670"/>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F82"/>
    <w:rsid w:val="00F672FF"/>
    <w:rsid w:val="00F67ACE"/>
    <w:rsid w:val="00F67C1B"/>
    <w:rsid w:val="00F67F40"/>
    <w:rsid w:val="00F70195"/>
    <w:rsid w:val="00F7048B"/>
    <w:rsid w:val="00F70FC0"/>
    <w:rsid w:val="00F715E7"/>
    <w:rsid w:val="00F71B09"/>
    <w:rsid w:val="00F71FF8"/>
    <w:rsid w:val="00F721E2"/>
    <w:rsid w:val="00F72602"/>
    <w:rsid w:val="00F72DEA"/>
    <w:rsid w:val="00F7331C"/>
    <w:rsid w:val="00F7356B"/>
    <w:rsid w:val="00F74ABA"/>
    <w:rsid w:val="00F74BC0"/>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485"/>
    <w:rsid w:val="00F92513"/>
    <w:rsid w:val="00F925C6"/>
    <w:rsid w:val="00F9294C"/>
    <w:rsid w:val="00F92F98"/>
    <w:rsid w:val="00F93AEB"/>
    <w:rsid w:val="00F93DB1"/>
    <w:rsid w:val="00F93FC5"/>
    <w:rsid w:val="00F94CD4"/>
    <w:rsid w:val="00F9506A"/>
    <w:rsid w:val="00F955CD"/>
    <w:rsid w:val="00F959F2"/>
    <w:rsid w:val="00F95B03"/>
    <w:rsid w:val="00F96026"/>
    <w:rsid w:val="00F9611E"/>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5D6"/>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14759"/>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compras.gov/compras" TargetMode="Externa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seges-me-no-73-de-30-de-setembro-de-2022"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5-2018/2015/decreto/d8538.htm"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s://www.gov.br/compras/pt-br/acesso-a-informacao/legislacao/instrucoes-normativas/instrucao-normativa-seges-me-no-73-de-30-de-setembro-de-2022"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mailto:licitacao@trt24.jus.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769085DD-1A17-4E73-9914-058D15088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7509</Words>
  <Characters>40553</Characters>
  <Application>Microsoft Office Word</Application>
  <DocSecurity>0</DocSecurity>
  <Lines>337</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47967</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2025-03-07T13:02:00Z</dcterms:created>
  <dcterms:modified xsi:type="dcterms:W3CDTF">2025-04-11T13:00:00Z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